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1465</w:t>
      </w:r>
    </w:p>
    <w:p>
      <w:r>
        <w:rPr>
          <w:b/>
        </w:rPr>
        <w:t xml:space="preserve">Datum: </w:t>
      </w:r>
      <w:r>
        <w:t>1920-04-16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Jakob Pettersson (Liberala riksdagspartiet, man)</w:t>
      </w:r>
    </w:p>
    <w:p>
      <w:r>
        <w:rPr>
          <w:b w:val="0"/>
        </w:rPr>
        <w:t xml:space="preserve">Jag vill svara herr Lo, att jag ingalunda förbisett bestämmelserna i vare sig 7 $ eller 83. Vad särskilt 8 $ beträffar, avser den fall av grovt missbruk eller grov försummelse vid vårdnadens utövande, eller också att fadern eller modern är hemfallen åt missbruk av rusgivande medel eller för ett lastbart iv. — Det är visserligen sant, att en del av de fall jag läste upp skulle kuna rubriceras som dylikt grovt missbruk, grov försummelse eller missbruk av rusgivande medel. Men även i dessa fall vill jag fråga herr Leo: vilket är där bäst, att </w:t>
      </w:r>
      <w:r>
        <w:rPr>
          <w:b/>
        </w:rPr>
        <w:t>hustrun²</w:t>
      </w:r>
      <w:r>
        <w:rPr>
          <w:b w:val="0"/>
        </w:rPr>
        <w:t xml:space="preserve"> får gå till domstolen, taga stämning på mannen och yrka att han skall förklaras förlustig rätten till vårdnaden över barnet — eller att </w:t>
      </w:r>
      <w:r>
        <w:rPr>
          <w:b/>
        </w:rPr>
        <w:t>hon²</w:t>
      </w:r>
      <w:r>
        <w:rPr>
          <w:b w:val="0"/>
        </w:rPr>
        <w:t xml:space="preserve"> får hänvända sig till en person, som avrätten är förordnad vara medlare i dylika frågor, och inför honom sammankomma med sin man och få saken ordnad på ett för barnets lästa lämpligt sätt. Detta gäller även i de fall således, där man skulle kuna tala om påtaglig grov försummelse eller grovt missbruk. Vidar är det mycket antagligt, att när det här förekommer sådana starka uttryck som grov försummelse och grovt missbruk, domstolen komme: att fordra mycket stark bevisning för att anse, att det föreligger ett ext:emt fall av missbruk eller försummelse. Åtminstone i ett par ar de fall, som jag läste upp, kan det vara ganska tvivelaktigt, att det stulle anses hava förekommit grovt missbruk eller grov försummelse. Där skulle således den paragrafen alls icke hjälpa.</w:t>
        <w:br/>
        <w:br/>
        <w:t>Jag tror, att jag kan vidhålla min mening, att om man verkligen vill hjälpa barn, som råka ut för dylika sorgliga omständigheter, nan inte bör tveka att här ansluta sig till utskottets förslag.</w:t>
      </w:r>
    </w:p>
    <w:p>
      <w:pPr>
        <w:pStyle w:val="Heading2"/>
      </w:pPr>
      <w:r>
        <w:t>2. Harald Hallen (Socialdemokraterna, man)</w:t>
      </w:r>
    </w:p>
    <w:p>
      <w:r>
        <w:rPr>
          <w:b w:val="0"/>
        </w:rPr>
        <w:t xml:space="preserve">Herr talman! I anledning av vad herr Pettersson nyss nämnde vill jag erinra, att det dock är den skillnaden, att enligt den omstridda 6 $ </w:t>
      </w:r>
      <w:r>
        <w:rPr>
          <w:b/>
        </w:rPr>
        <w:t>hustrun²</w:t>
      </w:r>
      <w:r>
        <w:rPr>
          <w:b w:val="0"/>
        </w:rPr>
        <w:t xml:space="preserve"> själv måste vara målsägare, under det att, då det är fråga om vanvårdnad och grov försummelse, som omnämnas 1 8 $, missförhållandet kan beivras efter anmälan av allmän åklagare eller barnavårdsnämnd, varigenom </w:t>
      </w:r>
      <w:r>
        <w:rPr>
          <w:b/>
        </w:rPr>
        <w:t>hustrun²</w:t>
      </w:r>
      <w:r>
        <w:rPr>
          <w:b w:val="0"/>
        </w:rPr>
        <w:t xml:space="preserve"> icke råkar i den utsatta ställning, man annars kan befara.</w:t>
        <w:br/>
        <w:br/>
        <w:t>Medan jag har ordet, ber jag att i största korthet få giva till känna den uppfattning, som jag utan all förhävelse tror är ganska spridd i kammaren just i denna fråga, den nämligen, att vi här hava, åtminstone vi lekmän, på känn, att här har man på ett rent mekaniskt sätt anlagt en renodlad juridisk synpunkt. Man lägger detta vanliga rättegångsförfarande på ett förhållande i familjelivet, där det för van-</w:t>
        <w:br/>
        <w:br/>
        <w:t>igt sunt förnuft ter sig som alldeles orimligt, att det skulle överhuvud ltaget inträffa.</w:t>
        <w:br/>
        <w:br/>
        <w:t xml:space="preserve">Herr justitieministern talade om, att man kan naturligtvis avstyra att sådana saker få avgöras av, låt mig säga, häradsrätten, ty ärendena skulle upptagas, endast då det med hänsyn till barnets bästa befunnes erforderligt och följaktligen, om man i ovist nit drog struntfrågor inför domstolen, så skulle man bli tillbakavisad. Men just detta leder enligt min uppfattning därtill, att det blir verkliga avgörande livsfrågor, som komma att dragas under domstolsprövning. Men tror då någon människa, att, om det t. ex. gäller det viktigaste det kan gälla, nämligen frågor om den personliga uppfostran, ett par makar, sedan de på det sättet fått schavottera inför offentligheten i en så ömtålig fråga, skulle kunna fortsätta sitt äktenskap. Låt oss tänka på icke blott vad som föregår en sådan domstolsprocedur utan också vad som följer efter densamma. Vardera maken skulle där få försöka övertyga sittande rätt, om att han eller </w:t>
      </w:r>
      <w:r>
        <w:rPr>
          <w:b/>
        </w:rPr>
        <w:t>hon²</w:t>
      </w:r>
      <w:r>
        <w:rPr>
          <w:b w:val="0"/>
        </w:rPr>
        <w:t xml:space="preserve"> hade rätt uppfattning i den viktiga frågan, som gäller barnets uppfostran. Det kan gälla även den konfessionella eller religiösa fostran, det kan gälla valet av levnadsbana för barnet eller andra rent personliga uppfostringsfrågor. Man skall först och främst anföra sannolikhetsskäl för att den ena eller andra maken har rätt, det kanske rent av kan påkallas vittnesförhör och annat dylikt. Sedan faller rättens utslag i den ena eller andra riktningen. Endera maken vinner. Vad skall detta barn tänka i en framtid? Det skall få veta, att den riktning, som dess fostran eller undervisning eller vad det kan gälla fått, har det inte far eller </w:t>
      </w:r>
      <w:r>
        <w:rPr>
          <w:b/>
        </w:rPr>
        <w:t>mor²</w:t>
      </w:r>
      <w:r>
        <w:rPr>
          <w:b w:val="0"/>
        </w:rPr>
        <w:t xml:space="preserve"> att tacka för, utan det är den eller den häradsrättens eller rådhusrättens utslag, som där spelat in. Kan detta vara någonting, som binder detta barn med någon större tillgivenhet till den far eller </w:t>
      </w:r>
      <w:r>
        <w:rPr>
          <w:b/>
        </w:rPr>
        <w:t>mor²</w:t>
      </w:r>
      <w:r>
        <w:rPr>
          <w:b w:val="0"/>
        </w:rPr>
        <w:t>, som har stått på den andra sidan i en sådan fråga. Jag menar således, att har man kommit så långt i ett hem, att man inte kan enas om de mest djupt ingripande frågor som finnas beträffande barnens vård, nämligen deras uppfostran — jag tänker närmast på det — så blir hela denna hänvisning, att de kunna gå till rätten och låta den döma, fullständigt imaginär och illusorisk, inte annat än jag kan fatta. Då har man kommit därhän, att äktenskapet alldeles uppenbart kommit till bristningspunkten, och det är klart, att om makarna på det sättet stå i harnesk</w:t>
        <w:br/>
        <w:br/>
        <w:t>mot varandra, att de varken kunna kompromissa eller låta den ena eller andra synpunkten bli gällande, så har väl det inträffat, som äktenskapslagen talar om, nämligen att det råder »djup och varaktig söndring». Och man får väl antaga, att en fortsatt samlevnad inom ett dylikt äktenskap är synnerligen svår, utan då har man kommit till den punkten, där äktenskapet inte längre går att sammanhålla.</w:t>
        <w:br/>
        <w:br/>
        <w:t>Det är särskilt med den synpunkten, som jag ber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