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367</w:t>
      </w:r>
    </w:p>
    <w:p>
      <w:r>
        <w:rPr>
          <w:b/>
        </w:rPr>
        <w:t xml:space="preserve">Datum: </w:t>
      </w:r>
      <w:r>
        <w:t>1920-04-17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Allan Westman (–, man)</w:t>
      </w:r>
    </w:p>
    <w:p>
      <w:r>
        <w:rPr>
          <w:b w:val="0"/>
        </w:rPr>
        <w:t>Herr talman! J ag har begärt ordet för att med några ord utveckla de synpunkter, som jag framlagt i den motion jag tillåtit mig väcka.</w:t>
        <w:br/>
        <w:br/>
        <w:t>Denna motion avser att få till stånd vissa ändringar 1 ett par lagparagrafer, som stå i samband med varandra, nämligen 1 den nu föreliggande och i 13 kap. 13 &amp; och jag har där även framställt ett yrkande med avseende å den föreslagna lagen om makes arvsrätt. Alla dessa yrkanden äro framställda ur en enhetlig synpunkt. De åsyfta nämligen att förhindra, att de beslut, som nu fattas, medföra rättsändringar, som komma att stå 1 strid med de jordpolitiska synpunkter, som redan hava tillämpats vid den lagstiftning, som hittills ägt rum, och vilka väl även komma att göras gällande vid den lagstiftning, som i samma syfte ytterligare kommer att företagas. Jag skall be att så kort som möjligt få för kammaren antyda konturerna till det problem, för vilket jag nu vill påkalla uppmärksamhet.</w:t>
        <w:br/>
        <w:br/>
        <w:t>Jag ber till en början att få säga, att när man läser den utförliga motiveringen till det förslag, lagberedningen framlagt till ny giftermålsbalk, får man det intrycket att lagberedningen utfört ett omsorgsfullt och skickligt lagtekniskt arbete, men man kan knappast undgå att lägga märke till, att lagberedningen så gott som uteslutande haft sin uppmärksamhet riktad på det speciella område, som den haft att behandla, och att det därför finnes en lucka i lagberedningens motivering. I densamma beaktas nämligen nästan icke alls den inverkan de föreslagna rättsändringarna komma att ha på de livsförhållanden, som regleras inom andra rättsområden. Jag tror att man icke skall kunna förneka, om man uppmärksamt granskar de synpunkter, som gå igenom lagberedningens motivering, att lagberedningen arbetat med en ganska trång horisont. Jag erkänner, att en frestelse i sådan riktning föreligger vid all partiell lagstiftning, men man kan vid ett studium av lagberedningens betänkande knappast undgå att känna en viss vemodig längtan efter den allomfattande blick och samhällsvisdom, som brukar finnas hos de stora lagstiftare, vilka förvärvat sig ett beundrat namn. Jag skulle naturligtvis icke gjort denna reflexion, om jag icke ansåge, att det drag i lagberedningens arbete, som jag här berört, menligt inverkat på utformningen av rättssatserna i det förslag, som nu föreligger till kammarens avgörande.</w:t>
        <w:br/>
        <w:br/>
        <w:t>Den begränsning av synfältet, som lagberedningen frivilligt pålagt sig, har varit så snäv, att lagberedningen, såsom i min motion framhållits, icke ens ansett sig behöva utreda, vilken inverkan de föreslagna reglerna om makars förmögenhetsförhållanden komma att utöva 1 arvsrättsligt avseende. Men den erinring jag här velat framställa har en vidare räckvidd. Lagberedningen — det är det Jag vill framhålla — har allt för ensidigt fäst sin uppmärksamhet vid den utveckling, som sedan den franska revolutionens tid ägt rum på personrättens, på familjerättens område, och lagberedningen har därför icke tagit vederbörlig hänsyn till den motsatta strömning, som under de senaste femtio åren och särskilt i våra dagar med växande styrka gör sig gällande på förmögenhetsrättens område. Inom familjerätten har individualismen hållit sitt segertåg. Där har individen befriats från allt flera och flera tryckande band. Tndividens frihet har där varit</w:t>
        <w:br/>
        <w:br/>
        <w:t>ledmotivet. Men huru hava förhållandena ställt sig inom förmögenhetsrätten, och hurudana äro de där för närvarande, om man ser på rättsutvecklingens riktning? Jo, där är det alldeles tvärtom. Där ålägger man individen, särskilt i fråga om fast egendom, allt flera inskränkningar i hans rörelsefrihet, i hans förfoganderätt och äganderätt, och detta sker icke bara i samhällets intresse, utan även till andra samhällsmedlemmars fördel. Där anser man sig böra alldeles i strid med individualismens läror pålägga individen allt flera och flera band. Där anser man sig kunna underordna individens frihetskrav under andra hänsyn. Individualismen möter lagstiftaren inom det livsområde, som regleras 1 förmögenhetsrätten, i form av kapitalismen. Det är alltså den, som man söker binda inom behöriga gränser. I detta sammanhang vill jag endast erinra om åtgärder, som i sådan riktning vidtagits 1 avseende å fast egendom, och jag vill då framhålla, att vi i vårt land hava en statens jordpolitik, vilken såväl upptager jordfördelningens problem till behandling som även inriktar uppmärksamheten på önskvärdheten att förhindra, att jorden i för stor utsträckning får karaktär av en handelsvara, som går i köp såsom lösöre. Det är tydligt, att hela denna tankevärld varit alldeles främmande för lagberedningen. Man finner ingenting därav i dess betänkande. Och det är därför — det måste jag säga — som detta betänkande gör intryck av en blek efterklangslagstiftning från den rena individualismens tidevarv. Jag skall icke undandraga mig skyldigheten att med avseende på den punkt, som nu är före, och i fråga om ett par andra, som med den stå i sammanhang, visa, huru främmande lagberedningen stått för de samhällslivets problem jag här antytt.</w:t>
        <w:br/>
        <w:br/>
        <w:t xml:space="preserve">Lagberedningen motiverar sitt förslag, att giftorätten skall utsträckas så, att den kommer att omfatta all makarnas egendom — således även den fasta egendom, som någon av makarna före eller under äktenskapet ärvt eller före detsamma förvärvt, vilken egendom enligt gällande rätt är undantagen från giftorätt, utan en tanke på att denna lagförändring har en jordpolitisk betydelse. Lagberedningen säger härom, att det stadgande, som nu finnes i gällande rätt och som innebär, att fast egendom av nyssnämnda slag skall undantagas från giftorätten, »härleder sig från den tid, då släkten ansågs hava vidsträckt anspråk på sådan egendom. Att stadgandet, sedan ett sådant släktens anspråk icke vidare godkännes, fått stå kvar och till och med så sent som 1898 utvidgas till att omfatta även fast egendom i stad måste betraktas såsom en anomali, som får sin förklaring däri, att stadgandet medför ett visst skydd för </w:t>
      </w:r>
      <w:r>
        <w:rPr>
          <w:b/>
        </w:rPr>
        <w:t>hustrun²</w:t>
      </w:r>
      <w:r>
        <w:rPr>
          <w:b w:val="0"/>
        </w:rPr>
        <w:t xml:space="preserve"> mot följderna av mannens missbruk av hans förvaltningsrätt., Det är hela den motivering, som lämnas, och således har den jordpolitiska synpunkten helt och hållet lämnats utom synfältet.</w:t>
        <w:br/>
        <w:br/>
        <w:t>Lika litet som av lagberedningen har denna synpunkt beaktats i den motivering, som lämnats av justitieministern i den kungl. propositionen. Han följer den tankegång, som varit bestämmande för lagberedningen.</w:t>
        <w:br/>
        <w:br/>
        <w:t>I min motion har jag fäst uppmärksamhet vid den synpunkt, som jag tillåtit mig att här understryka, och första lagutskottet har därför i föreliggande betänkande icke kunnat undgå att taga hänsyn till densamma. Jag måste då erkänna, att lagutskottet medgiver, att denna synpunkt för visso har betydelse, ehuru lagutskottet säger, att gällande rättsregel om ärvd fastighets enskilda natur icke har så stor betydelse, som man i allmänhet föreställer sig. LDLagutskottet bestrider emellertid icke, att den uppfattning jag uttalat i min motion är riktig, nämligen att den föreslagna regeln om giftorätten kommer att verka i sådan riktning, att jorden mobiliseras. Lagutskottet bestrider icke, att den kommer att medföra ökade svårigheter för en arvinge att övertaga efterlämnad jordbruksfastighet. Lagutskottet förnekar icke, att en sådan bestämmelse skall leda till, att fastigheter komma att i ökad omfattning gå till salu. Vad är det då för skäl, på grund av vilka lagutskottet tillstyrker den föreslagna lagändringen? Jo, lagutskottet säger på följande sätt: »I varje fall är det uppenbart, att arvskiftena i långt högre grad än bodelningarna på grund av giftorätt äro ägnade att medföra styckning av fastigheter. Och då den för visso betydelsefulla frågan om familjerättsliga lagstiftningsåtgärder till förekommande av jordens allt för stora splittring och mobilisering synes bäst kunna prövas i ett sammanhang, bör detta enligt utskottets mening icke ske nu, utan vid den förestående revisionen av arvsrätten.»</w:t>
        <w:br/>
        <w:br/>
        <w:t>Det har givetvis varit ganska lätt för reservanterna, herrar Pettersson i Bjälbo och Rogberg, att i sin reservation vederlägga de skäl, som Jagutskottet sålunda angivit. Det är ju uppenbarligen alldeles orimligt att nu taga ett steg, som medför ökad fara för jordens splittring och mobilisering, med utsikt, att man längre fram, vid revision av arvsrätten får taga detta steg tillbaka. Det finnes, mina herrar, förut så många exempel i den moderna svenska familjerättens historia på att lagstiftaren irrat hit och dit och gjort ändringar, som han några år senare fått göra tillbaka, att det icke finnes skäl att rikta vår rättshistoria med ytterligare exempel på en sådan politik.</w:t>
        <w:br/>
        <w:br/>
        <w:t>Jag ber att få framhålla, att den fråga, jag här berört, är av synnerligt stor betydelse. Det är av mycket stor vikt för framstegsarbetet inom vårt jordbruk, att en jordägare vet, att han arbetar för att förkovra och förbättra kultur och byggnader å å en fastighet, som efter honom skall övertagas av hans arvingar. På jordbrukets område är det så, att frukterna av de stora förbättringarna skördas endast till ringa del av den, som själv har vidtagit dessa förbättringar; de komma till stor del först senare släktled till godo. Det gäller i alldeles särskilt hög grad om förbättringar på jordbrukets område: den, som verkställer sådana, arbetar för kommande släkten. Det förefaller mig då vara ganska tydligt, att man icke bör införa rättsändringar, som komma att medföra, att jordägaren i högre grad än nu kommer att sväva 1 ovisshet om vem som efter honom skall bliva ägare till den fastighet, på vilken han nedlägger sitt arbete.</w:t>
        <w:br/>
        <w:br/>
        <w:t>Jag vill nämna att första lagutskottet angivit ytterligare ett skäl</w:t>
        <w:br/>
        <w:br/>
        <w:t xml:space="preserve">för sin ståndpunkt. Lagutskottet har anfört exempel på att i visst fall nuvarande regel om giftorättens omfattning kan verka på ett mindre tillfredsställande sätt. En ärad talare under förmiddagsdebatten har också anfört ett exempel, som uppställts efter samma schema. Men lagutskottet har ingalunda framhållit, ingalunda styrkt, att dess eget förslag kommer att verka bättre eller rättvisare. Herr Lindhagen har i dag anfört ett exempel på ett äktenskap, där nuvarande giftorättsordning uppenbarligen verkar till </w:t>
      </w:r>
      <w:r>
        <w:rPr>
          <w:b/>
        </w:rPr>
        <w:t>hustruns²</w:t>
      </w:r>
      <w:r>
        <w:rPr>
          <w:b w:val="0"/>
        </w:rPr>
        <w:t xml:space="preserve"> skada och olycka, men det är självklart, att om i det äktenskapet funnits enskild fast egendom, skulle en utsträckning av giftorätten till att omfatta även denna fasta egendom 1 ännu högre grad försämrat den ofördelaktiga ställning, vari den nuvarande rätten ställt denna </w:t>
      </w:r>
      <w:r>
        <w:rPr>
          <w:b/>
        </w:rPr>
        <w:t>hustru²</w:t>
      </w:r>
      <w:r>
        <w:rPr>
          <w:b w:val="0"/>
        </w:rPr>
        <w:t>. Jag skall icke på egen hand uppställa något annat exempel, ehuru det skulle vara en lätt sak att göra det. Det torde vara nog med det påpekande jag gjort.</w:t>
        <w:br/>
        <w:br/>
        <w:t>För mig är huvudsaken den — jag vill understryka den synpunkten — att man i avseende å giftorättens omfattning principiellt icke bör jämställa jorden med löst kapital. Man bör icke göra det, ty det är en skillnad i rättsligt avseende mellan jorden och det lösa kapitalet, som ligger till grund för hela den jordpolitik, som på sista tiden alltmer utformats.</w:t>
        <w:br/>
        <w:br/>
        <w:t>De beklagliga följderna av den rättsregel, som lagutskottet föreslår ifråga om giftorättens omfattning förvärras därigenom, att lagutskottet ställer sig avvisande mot mitt yrkande om en ändring i samma syfte som den jag föreslagit i nu föreliggande paragraf, nämligen av 13 kap. 13 $. Mitt yrkande gäller där ökadrätt för arvinge att lösa sig till fastighet för att bevara den inom släkten.</w:t>
        <w:br/>
        <w:br/>
        <w:t>I samma ogynnsamma riktning verkar också den nya lagen om makes arvsrätt. Den innebär, såsom kammaren torde erinra sig, att om en make dör utan att efterlämna bröstarvinge, får den efterlevande maken först halva boet på grund av giftorätt, och därefter hälften av det återstående boet, om föräldrar, syskon eller syskons avkomlingar leva, men om så nära arvingar icke finnas, hela boet. När lagberedningen framställt detta förslag till lag om makes arvsrätt, har lagberedningen icke heller därvidlag beaktat de synpunkter, för vilka jag här gjort mig till talesman. Även denna fråga har lagberedningen sett ur individualistisk synpunkt. Lagberedningen säger, såsom herrarna sett i lagutskottets betänkande, endast, att »utvecklingen har emellertid medfört, att släktbandens styrka allt mer minskats; detta bör ock inverka på släktens rätt till arv». Det är hela den motivering, lagberedningen anfört, och den har icke behandlat den här föreslagna lagen ens ur synpunkten av dess samband med den gällande arvsrätten och ej heller ur andra och vidare synpunkter.</w:t>
        <w:br/>
        <w:br/>
        <w:t>Alltså, den anmärkning, som jag velat framställa vid behandlingen av denna paragraf, är den, att dess inverkan ur Jordpolitisk synpunkt icke blivit på tillfredsställande sätt utredd och beaktad. Jag skulle vilja, såsom en ytterligare förklaring till att så blivit</w:t>
        <w:br/>
        <w:br/>
        <w:t>förhållandet, peka på en rent teknisk detalj i riksdagsarbetets an- Förslag till ordning. Den föreliggande kungl. propositionen har behandlats 9iftermålsbalk. av första lagutskottet. Detta utskott har icke haft att behandla (Forts) de propositioner och motioner, som ha jordpolitisk syftning, utan</w:t>
        <w:br/>
        <w:br/>
        <w:t>dessa framställningar ha gått till andra lagutskottet. Första lag-</w:t>
        <w:br/>
        <w:br/>
        <w:t>utskottet har därför icke haft särskild anledning att tänka på dessa</w:t>
        <w:br/>
        <w:br/>
        <w:t>problem. Det har å andra sidan varit en helt naturlig sak, på grund</w:t>
        <w:br/>
        <w:br/>
        <w:t>av det arbetsmaterial, som förelegat för mig såsom medlem av andra lagutskottet, att jag kommit att betrakta föreliggande proposition</w:t>
        <w:br/>
        <w:br/>
        <w:t>ur de synpunkter jag här avgivit. Andra lagutskottet har vid inne-</w:t>
        <w:br/>
        <w:br/>
        <w:t>varande riksdag att taga ståndpunkt till flera brännande jordpoli-</w:t>
        <w:br/>
        <w:br/>
        <w:t>tiska frågor, och av denna anledning är det självklart, att för mig</w:t>
        <w:br/>
        <w:br/>
        <w:t>måste vid behandling av denna proposition framställa sig proble-</w:t>
        <w:br/>
        <w:br/>
        <w:t>met, huru det beslut, som jag här förutser, skall kunna överens-</w:t>
        <w:br/>
        <w:br/>
        <w:t>SR med de riktlinjer, som komma fram vid andra lagutskottets</w:t>
        <w:br/>
        <w:br/>
        <w:t>Jag vill sluta med att framhålla, att det förefaller mig betänkligt att nu fastslå dessa i den kungl. propositionen föreslagna regler även ur den synpunkten, att det föreliggande lagförslaget ingår såsom ett led i det skandinaviska samarbetet och att det därför kommer att bliva synnerligen svårt att om några år, därest detta på grund av rent svenska synpunkter skulle vara önskligt, få en ändring till stånd. Om vwvi vid behandlingen av jordpolitiken komma till det resultatet, att det är nödvändigt att ändra dessa regler, komma vi att få till svar, att de antagits under skandinaviskt samarbete, och det vore högst - betänkligt att rubba dem. Jag ber vidare att ur synpunkten av detta förslags ställning såsom ett led i det skandinaviska samarbetet få säga, att jag befarar, att antagande av det kungl. förslaget oförändrat även i den paragraf, som nu föredragits, kommer att hava synnerligen menliga följder med avseende å det skandinaviska samarbetets framtid. Det uttalades, när detta arbete sattes i gång på familjerättens område, stor oro för att ett samarbete på detta ömtåliga område skulle möta svårigheter, att det skulle framkallas ett motstånd, som kunde bliva furligt för den skandinaviska lagstiftningen i dess helhet. Vid det sista juristmötet, som hölls i höstas här i Stockholm, uppträdde en framstående dansk målsman för detta skandinaviska samarbete och yttrade, att det föreföll honom såsom en saga, att det nu kunde föreligga lika lydande lagförslag, i stort sett, för alla de tre skandinaviska länderna, och att det såg ut, som om full enighet skulle råda på familjerättens område. Emellertid var den enighet, som då förelåg, endast skenbar. Det har visat sig, att ett ingalunda föraktligt motstånd framkommit. Att vid en votering, som hölls i denna kammare beträffande 5 kap. 1 $, det blev en så pass stor minoritet som nu var fallet, är en företeelse, som måste anses vara synnerligen betydelsefull, och min övertygelse är, att om det skandinaviska samarbetet leder till genomdrivande av sådana beslut som det, vilket här föreslås i förevarande paragraf, kommer motståndet mot det skandinaviska samarbetet att mer och</w:t>
        <w:br/>
        <w:br/>
        <w:t>Förslag till mer ökas. Jag skulle därför för min del, ur denna synpunkt, icke giftermålsbalk. vilja tillönska Kungl. Maj:ts proposition seger i den punkt, som</w:t>
        <w:br/>
        <w:br/>
        <w:t>föreligger. Jag ber, herr talman, att få yrka bifall till den reservation,</w:t>
        <w:br/>
        <w:br/>
        <w:t>som är framställd av herrar Pettersson i Bjälbo och Rogberg och går ut på att fast egendom på landet, som makar före eller under äktenskapet ärvt eller förut förvärvt, skall vara undantagen från</w:t>
      </w:r>
    </w:p>
    <w:p>
      <w:pPr>
        <w:pStyle w:val="Heading2"/>
      </w:pPr>
      <w:r>
        <w:t>2. Nils Alexanderson (Liberala samlingspartiet, man)</w:t>
      </w:r>
    </w:p>
    <w:p>
      <w:r>
        <w:rPr>
          <w:b w:val="0"/>
        </w:rPr>
        <w:t>Vi hava nu haft nöjet att höra ett försenat principdebattsanförande. Vid denna sena timme skall jag emellertid icke ingå på de stora principfrågor, som den ärade talaren ansåg lämpligt att på detta skede av diskussionen upptaga, utan jag skall för min del hålla mig till den speciella fråga, som föreligger i denna paragraf.</w:t>
        <w:br/>
        <w:br/>
        <w:t>Den ärade talaren ville icke tillönska Kungl. Maj:ts proposition seger i denna punkt, och det kan jag mycket väl fatta. Eftersom hela hans ståndpunkt tydligen är en helt annan, är det rätt naturligt, att han önskar seger åt sin ståndpunkt. Men jag tilllåter mig Järemot uttala en varm förhoppning, att propositionen måtte komma att följas även i detta fall. Enligt min uppfattning blåser man upp denna fråga till helt andra dimensioner, än den verkligen har, då man gör gällande, att av den föreslagna lagändringen skulle bliva följden en »bondejordens mobilisering» 0. s. V. Den ytterst försiktiga hållning utskottet intagit i sin motivering — vilket talaren nyss inkasserade — beror i själva verket på att man från något enstaka håll inom utskottsmajoriteten ansett, att här skulle föreligga en viss risk för en ökad omsättning av jorden, ehuru denna icke heller på Jetta håll ansågs böra verka avgörande på beslutet; och med hänsyn till lämpligheten av att framlägga en enig motivering frånskilde man därför vid justeringen det, som icke alla ansågo sig kunna underskriva. För min del tvekar jag icke att uttala, att såsom förhållandena faktiskt gestalta sig i landet, bliva verkningarna av den ifrågasatta ändringen synnerligen begränsade. Detta stöder jag på två grunlfakta, som man bör erinra, då det talas om verkningarna inom bondeklassen av att viss fast egendom är enskild.</w:t>
        <w:br/>
        <w:br/>
        <w:t>Det är ju nämligen inom allmogeklassen man väntar sig, att de betänkliga följderna skulle ske. Vad beträffar le högre besittande klasserna kan det omöjligt förnekas. att med den karaktär förmögenheten där numera har, då den till stor del utgöres av tillgångar, vilkas underlag visserligen ofta är fast egendom, men som ” juridiskt utgöres av aktier eller liknande papper, det nuvarande systemet leder till orimliga orättvisor. Det är ju så, att den som vid giftermålet eller senare infört aktier i boet, därmed ökar den samfällda egendomen, medan den som inför fast egendom, i förra fallet alltid, i senare fallet, om det är fråga om arv, behåller</w:t>
        <w:br/>
        <w:br/>
        <w:t>den såsom sin enskilda egendom. Det är ju ett av gammalt med all rätt påtalat orättvist resultat man därigenom kommer till.</w:t>
        <w:br/>
        <w:br/>
        <w:t>Men, säges det nu, inom bondeklassen ställer det sig helt anmorlunda. Där finnas icke några förmögenheter nedlagda i aktier och dylikt, utan fast egendom och inventarier. Men om nu, såsom icke sällan är fallet, inventarier av icke obetydligt värde till visst belopp införas av den ena maken, medan den andra maken inför fast egendom, kommer även här samma orättvisa att inträffa.</w:t>
        <w:br/>
        <w:br/>
        <w:t xml:space="preserve">Nu menar man kanske att denna olägenhet får man taga för att förhindra ett större ont, bondejordens mobilisering. Men då återkommer jag till de två fakta, jag nyss syftale på. Hur går det i verkligheten till, då ett nytt släktled tar vid på släktgården? Jo, antingen förvärvas denna gård i sin helhet såsom gemensam egendom av man och </w:t>
      </w:r>
      <w:r>
        <w:rPr>
          <w:b/>
        </w:rPr>
        <w:t>hustru²</w:t>
      </w:r>
      <w:r>
        <w:rPr>
          <w:b w:val="0"/>
        </w:rPr>
        <w:t>, i det att son eiler måg under gammelfolkets dlivstid, sedan de gamle satt sig på undantag, köpa hemmanet, jorden blir då, eftersom den är av makarna tillsammans förvärval, icke enskild, utan gemensam egendom. Eller också lever gammelfolket sin tid ut och en av arvingarna, i regel en gift son eller måg, löser ut de övriga arvingarna och tager fastigheten. Om dessa arvingar då äro till exempel fem, blir resultatet, att han får såsom enskild egendom en femtedel i hemmanet, medan de fyra femtedelar, som han under äktenskapet löst in av medarvingarna, antaga karaktären av samfälld egendom. Den omständigheten, att den ideella andel i egendomen, som han fick såsom arvinge, på grund därav blir enskild egendom, den har naturligtvis icke Iden verkan, som den föregående talaren antog, att den motverkar »jordmobiliseringens på något annat sätt eller i någon annan skala, än om alla dessa fem femtedelar, som jag talat om, hade varit gemensam egendom.</w:t>
        <w:br/>
        <w:br/>
        <w:t>Jag ber också att få framhålla, att såväl inom lagutskottet från skilda representanter just för lantmannaklassen, som efter val Jag funnit vid förfrågan hos åtskilliga lantmän i riksdagen, av vilka flertalet äro vana booch arvskiftesförrättare, har det vitsordats, att i alla möjliga olika landsändar i norra, mellersta och södra Sverige det är vida mer vanligt, att den nuvarande ordningen uppfattas såsom någonting orättfärdigt. Det lär till och med vara mycket vanligt. att folket självt icke känner till, att fast egendom wutgör något undantag från &lt;samfällighetsregeln, och att det uppstår en stor överraskning vid upplysningen av boskiftesförättaren, att efterlevande make icke har del i den egendom, på vilken makarna suttit och arbetat decennier igenom och som kanske fått det värde och hela den karaktär den för närvarande har, just genom att dessa makar gemensamt på den nedlagt ett mångårigt arbete. Det har till och med av en lantmannarepresentant inom lagutskottet sagts, att han för sin del betraktade såsom det allra värdefullaste i hela lagen, att denna i hans ort så starkt påtalade orättvisa nu skulle komma att hävas. Och en reservant har själv vitsordat, att det efter hans uppfattning också</w:t>
        <w:br/>
        <w:br/>
        <w:t>verkligen är åskådningen inom lantbefolkningen i hans bygd, att det borde vara på det andra sättet. Vid sådant förhållande synes det, att man skulle hava en mycket klar jordpolitik upplagd och mycket klara argument för att denna jordpolitik skulle komma att motverkas av den ändring, som nu avses, för att man med hänsyn till det där allmänna talesättet om jordmobiliseringen skulle vilja motsätta sig den föreslagna ändringen.</w:t>
        <w:br/>
        <w:br/>
        <w:t>Då herr Westman menade, att denna komme att stå i strid med en tendens, som gör sig gällande på förmögenhetsrättens område, nämligen att individens fria vilja skall något beskäras, och att man skall taga hänsyn till sociala och andra synpunkter i fråga om hans frihet att disponera över sin egendom, vill jag erinra, att det blir just effekten av den lagändring, som här ifrågasättes, i flera avseenden. Det stadgas nämligen, att en make icke kan avhända sig fast egendom, som blivit giftorättsgods, utan den andre makens samtycke. Och det undrar jag, om det icke är många bland oss, som känna till historierna om :de oöverlagda försäljningarna eller andra avyttringar av fastighet, till vilka den make, som ägde eller förfogade över fastighet, i hastigt mod lät sig lockas och som till båda makarnas lycka aldrig skulle blivit av, om den andre makens samtycke vore erforderligt. Familjen skulle aldrig blivit berövad den egendom, på vilken den suttit, om maken fått betänka sig och måste taga den andra maken till råds och inhämta hans samtycke.</w:t>
        <w:br/>
        <w:br/>
        <w:t>Om «dessutom arvsrätten ändras, på sätt lagutskottet med synnerlig enhällighet föreslagit, till andra makens favör, kommer även den gemensamt härmed gjorda jämkningen i giftorätten att verka därhän, att jorden kommer att samlas mera på en hand i stället för att ytterligare splittras, såsom den föregående ärade talaren ansåg vara att befara.</w:t>
        <w:br/>
        <w:br/>
        <w:t>Med anledning av vad jag anfört ber jag, herr talman, att få yrka bifall till den föreliggande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