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379</w:t>
      </w:r>
    </w:p>
    <w:p>
      <w:r>
        <w:rPr>
          <w:b/>
        </w:rPr>
        <w:t xml:space="preserve">Datum: </w:t>
      </w:r>
      <w:r>
        <w:t>1920-05-12</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Fredrik Holmquist (Liberala samlingspartiet, man)</w:t>
      </w:r>
    </w:p>
    <w:p>
      <w:r>
        <w:rPr>
          <w:b w:val="0"/>
        </w:rPr>
        <w:t>Herr greve och talman! Redan) vid första blicken på det föreliggande betänkandet finner man, att Jet är motionärer av högst väsentligt olika allmän politisk ställning, som här förenat sig i yrkan]let om en skrivelse rörande folkomröstningsinstitut. Här har vi herr Clason, som jag är alldeles övertygad om ej ifrågasätter annat än att räknas till ultras på högerhåll, vilken har förenat sig med herrar Vennerström och Lindhagen, som jag tror mig, redan av courtoisie för dem, ha rätt att räkna till den yttersta vänstern. Var och en förstår redan av den innebörden, att man</w:t>
        <w:br/>
        <w:br/>
        <w:t>vill genom det här beslutet ändå ha någonting, som från olika håll betraktas med helt olika blickar. Å ena sidan tror man sig väl av det här kunna få något stöd för vissa konservativa eller älskvärt sagt konserverande åskådningar. Å andra silan tror man sig väl med denna skrivelse kunna få en första hävstång för att få fram något mycket radikalt. Jag tror knappast jag har gissat orätt, åtminstone från de personers synpunkt sett, som jag här tagit mig friheten att nämna.</w:t>
        <w:br/>
        <w:br/>
        <w:t xml:space="preserve">Vad nu själva referendum beträffar, så har man delat upp det i konsultativt referendum, initiativreferendum och i [beslutsreferendum. Det är ju i själva verket dock olika tekniska begrepp, som ej säga så alldeles mycket. Jag tror, att det är mera teoretiska skiljaktigheter i stort mellan de olika referendas egenskaper. Jag tror att de i stort sett i många hänseenden hava ungefär samma egenskaper. Ett konsultativt referendum, som, när det blir etablerat, ger det utslaget att "/s av folket vill en sak — ja, tror någon människa att en folkförsamling, vald på proportionell grund kommer att motsätta sig det? Om över huvul taget så sker förmodar jag, att en sådan folkförsamling, den är satt i det skick, att den ej vidare utövar något motstånd. Sålunda, att göra den där bestämda skillnaden på ett beslutsreferendum och ett konsultativt referendum, det är väl ändå i sig själv ganska teoretiskt! Men å andra sidan är det för mig alldeles naturligt, att det ej kommer att lröja så otroligt länge, förrän vi stå inför nödvändigheten av ett referendum. Det har ju gått fram i olika stater, under olika former visserligen, och där det ej redan är genomfört så är det ju kan man säga, på väg att genomföras. Men mina herrar, hur är det hos oss? Jo, vi äro ju själva i kammaren ej så sammansatta, som vi inom en mycket nära stående tid bli. Den svenska </w:t>
      </w:r>
      <w:r>
        <w:rPr>
          <w:b/>
        </w:rPr>
        <w:t>kvinnan¹</w:t>
      </w:r>
      <w:r>
        <w:rPr>
          <w:b w:val="0"/>
        </w:rPr>
        <w:t xml:space="preserve"> har ännu ej fått vara med om att välja svenska folkets rikslagsmän enligt det åtminstone en gång givna löftet. Vore det ej då ganska naturligt, att vi väntade med en sådan här genomgripande sak, till dess att åtminstone vi vore så sammansatta i riksdagens båda kamrar, som vi efter de senast vidtagna grundlagsändringarna skola bli? Jag tycker det vore en sak, som till och med ganska långt isärgående politiska åskådningar ha rätt att säga, att det ligger bra nära den vanliga tarvliga måttfullheten. Tar man ej för mycket på sig genom att nu omedelbart införa ett referendum, innan riksdagen har fått den sammansättning, som den slutligen skall ha? Det förefaller mig, som om det vore en ganska naturlig åskålning. Jag förmodar, att jag kommer att bli motsagd från ganska många håll, men det skuile icke förvåna mig, om jag även från ett eller annat håll skulle vinna anslutning till detta mitt ställningstagande i frågan.</w:t>
        <w:br/>
        <w:br/>
        <w:t>Jag kan ej gilla den motivering, som av reservanterna är framförd beträffande sakfrågan här i betänkandet, men jag har den uppfattningen, att den ligger det rätta närmast, och jag vill under sådana förhållanden förena mig med dem. Nu har en annan fråga uppkommit och kanske blivit den så att säga primära och stora</w:t>
        <w:br/>
        <w:br/>
        <w:t xml:space="preserve">Onsdagen den 12 maj, f. m. 21 frågan här, och det är, huruvida man enligt nu gällande grundlag kan genomföra ett s. k. konsultativt referendum utan någon ändring i grundlag. Det är den motivering, som utskottet använder för sitt förslag, då det säger, att den konsultativa folkomröstningen enligt utskottets uppfattning icke hindras av sina nuvarande författningsbestämmelser i särskilda fall. Ja, jag kan för min del ej annat än instämma med herr Clason i vad han i det fallet har uttalat. Det är mig omöjligt att läsa Sveriges grundlag, då det uttryckligen står, att »svenska folket representeras av riksdagen», så att ej svenska folket även skall i det här avseendet, då det gäller folkomröstningsinstitutet, representeras av svenska riksdagen, och att Jet följaktligen är genom riksdagen, som svenska folket skall tala. Därmed har jag naturligtvis ej i någon mån lagt något hinder i vägen för de politiska petitionerna. Det är alldeles självfallet, att det svenska folket får petitionera så mycket det vill. Om man i varje församling vill samla svenska folket till ett petitionsuttalande, så äger man rätt därtill, och så har ju svenska folket förfarit. Så har Jet gått, då det varit fråga om nykterhetsfolkets bestämda krav på förbudets genomförande. Så har det varit, då </w:t>
      </w:r>
      <w:r>
        <w:rPr>
          <w:b/>
        </w:rPr>
        <w:t>kvinnan¹</w:t>
      </w:r>
      <w:r>
        <w:rPr>
          <w:b w:val="0"/>
        </w:rPr>
        <w:t xml:space="preserve"> har gjort sin rätt gällande. Det har varit petitionsvägen, och den vägen är efter mitt bregrepp fullkomligt inattackabel. Den ha vi naturligen gått, och den komma vi efter mitt begrepp att även fortfarande följa, men att utan ändring i grundlagen nu genomföra något konsultativt referendum, det tror jag ej är med grundlagens anda och mening — och jag vill även säga bokstav — överensstämman le.</w:t>
        <w:br/>
        <w:br/>
        <w:t>Nu har man dragit in i den här härvan en annan sak, och det är den svenska regeringens eller, som man säger, »Kungl. Maj:ts» ställning till frågan om referendum. Ja, den frågan ligger ju utanför den föreliggande diskussionens ram. Om den skall jag ej yttra mig, ehuru även på det gebitet nog finnes ett och annat, som kan vara en hake; men, som sagt, den frågan ligger icke inom det föreliggande betänkandets ram. Jag kan således i fråga om den motivering i denna del, som utskottet har använt, ej annat än instämma med herr Clason. Ja, herr talman, jag har endast velat framställa dessa mina tankar och slutar som jag börjat med att yrka bifall till de båda vil utlåtandet fogade reservationerna.</w:t>
      </w:r>
    </w:p>
    <w:p>
      <w:pPr>
        <w:pStyle w:val="Heading2"/>
      </w:pPr>
      <w:r>
        <w:t>2. Carl Lindhagen (–, man)</w:t>
      </w:r>
    </w:p>
    <w:p>
      <w:r>
        <w:rPr>
          <w:b w:val="0"/>
        </w:rPr>
        <w:t>Jag ber att till en början få framhålla, att under hela debatten har här icke betonats vad som enligt min uppfattning är själva kärnan i denna sak, och den ligger däri, att den så kallade demokratien — jag understryker den så kallade demokratien —- icke kommit längre än att den giver valmännen vart tredje år eller numera tyvärr först vart fjärde år en rättighet att lägga i urnan en valsedel, med vars tillkomst de flesta haft ofantligt litet att skaffa. Det är alldeles för litet för ett folk, som skall styra sig självt, att icke ha fått mera. Det måste komma därhän, att folket också får rätt att tänka på själva saken, att rösta om saken, ty förr kan icke menige</w:t>
        <w:br/>
        <w:br/>
        <w:t>man bliva upplyst och fylld av självansvar och förr är det icke värt att tala om någon verklig demokrati, utan tills den tiden kommer röra vi oss bara med så kallad demokrati.</w:t>
        <w:br/>
        <w:br/>
        <w:t>Den bilaga, som fogats till min motion, innehåller en framställning av folkstyrelsens utveckling i Amerika av generalsekreteraren i det demokratiska förbundet för denna sak. Judson King slutar med följande ord: »Under århundraden ha folken böjt sig för budet att regering och styrelse voro uppgifter för de bästa och visaste och något vida över förmågan för det stora flertalet. Världen har prövat despotism, monarki, konstitutionell monarki och valrepubliker — alla hava misslyckats med att stifta fred och rättvisa». Och det är väl fullkomligt riktigt. »Folken fordra nu omedelbar makt. Detta är det sista steget, och initiativ och referendum lämna oss medel till detta ändamål», eller såsom en av de ledande schweiziska statsmännen yttrat: »initiativ och referendum är icke en princip, som endast vidkommer två eller tre land, den angår alla land. Den är ett politiskt varsel. den betecknar ett folkens allmänna uppvaknande till insikt om sin rätt att själva uppbygga staten». Det är något helt annat. Men nu vid detta tillfälle lika väl som i de motioner, som jag tillät mig väcka åren 1917 och 1919, har jag lagt huvudvikten, för att icke säga den största vikten vid, att detta folkinstitut måste ordnas så, att det icke fortfarande blir ett demagogiskt redskap för partierna, utan att det blir en möjlighet för folken att resa sig emot ledarna och partierna. Alltså, att det skall bliva — såsom man 1 Amerika försöker utexperimentera saken — byggt på en verklig upplysning om den sak, som är i fråga. Och detta har man sökt tillgodose på det sättet, att det från styrelsens sida upprättas en objektiv framställning om själva sakförhållandena och sedan får varje parti inom ett begränsat utrymme framställa sin mening. Allt detta tryckes sammanlagt och utdelas till alla dem, som skola deltaga i omröstningen. Det är i alla fall ett försök att vrida osanningens vapen ur det nuvarande partistyrets händer och försöka befria folken ifrån lögnen och bereda dem ett tillfälle att uppfostra sig själva.</w:t>
        <w:br/>
        <w:br/>
        <w:t>Trots det, att detta har så starkt betonats av mig åren 1917 och 1919, och trots det att vi hava Amerikas föredöme, så återfinnes varken i herr Clasons eller herr Vennerströms motioner ett ord om denna sak, varav jag måste draga den slutsatsen. att för riksdagens flesta ledamöter och även för dem, som befinna sig på yttersta vänsterkanten likaväl som för dem, som befinna sig på vttersta högerkanten, denna stora uppgift icke ännu är en hjärtesak. Det är icke något, som de känna ett inre behov av att föra fram. Man glider över det såsom en bisak. Jag måste verkligen säga. att om det kommer ett förslag utan detta, så är jag mycket tveksam. om jag överhuvud taget skall lämna det min röst. ty då förutser jag. att det nva ingenting annat blir än det gamla. Det blir ett tvång på folket att acceptera färdiga meningar, som färdiggjorts i partitidningarnas rubriker och i deras innehåll av valinpiskarne.</w:t>
        <w:br/>
        <w:br/>
        <w:t>Nu sade herr von Geijer till att börja med. att han kan icke vara med om det här. Det var kontentan, och det förstår jag ju. ty herr</w:t>
        <w:br/>
        <w:br/>
        <w:t>von Geijer representerar det konservativa och konserverande och det här är något nytt. Men han sade också, att han måste även av det skälet yrka avslag att han icke fått den ringaste riktlinje, huru man skulle ordna saken. Det fanns icke ett spår därom och därför måste han yrka avslag. Men, herr von Geijer, redan principen är ju en den bästa riktlinje, så att de, som yrka bifall till skrivelsen, måste vara vägledda av principen. Det är en ypperlig riktlinje. Sedan ha vi exemplifieringen i de olika ländernas lagstiftning, där saken är genomförd. Slutligen icke minst Judson Kings framställning. som ledamöter inom konstitutionsutskottet tackat mig för att den fogats vid motionen. Den framställningen är uppfylld av riktlinjer och erfarenheter om vekningarna. Herr von Geijer har såsom ledamot av konstitutionsutskottet kanske icke ens läst denna bilaga. Det intrycket måste man få av hans framställning.</w:t>
        <w:br/>
        <w:br/>
        <w:t>Herr Clason! Ja, han är ju också med på saken, och herr Holmquist sade: »Där ser Ni: yttersta högern och yttersta vänstern». men jag skall komma till herr Holmquist strax, ty det är det tacksammaste ämnet. Herr Clason har icke tryckt på, att detta skall vara ett folkuppfostrande institut och därför läggas på folkuppfostrande grund, och därför kan man möjligtvis få en känsla av, då detta förslag bekämpades enhälligt av högern i första kammaren under den gamla regimen, att man tänker — det är mycket förklarligt och förlåtligt — »nu hava vi förlorat makten, vi måste söka nya utvägar att i vissa punkter åtminstone återvinna vår maktställning». Nå, det göra ju alla människor, så att det bör icke vara något, som talar emot förslaget som sådant. Det kan vara lika gott. Man slåss om makten på det ena eller andra stället, så att det är icke något större hinder för att genomföra en sådan här sak än för att genomföra allmän och lika rösträtt.</w:t>
        <w:br/>
        <w:br/>
        <w:t>Herr Reuterskiöld höll före — och det var ju en ofantligt klämmig synpunkt — att förslaget strider emot grunderna för vår författning. Det kan icke komma ifråga att vi få besluta så här överhuvud taget. Då vill jag för det första säga, att ett påstående om författningens främsta grunder utan att hålla sig till dess bokstav, blir väl 1 alla fall en mycket vacklande ståndpunkt. Vilja vi vara uppriktiga mot varandra, så är det nog så, att om ett grundlagsförslag faller oss på läppen så tycka vi. att det också överensstämmer med grunderna för vår författning; faller det oss icke på läppen, tycka vi. att det icke överensstämmer med grunderna för vår författning. Sådan är överhuvud taget i allmänhet individernas psykologi. Men om det nu verkligen vore så att. trots det att bokstaven icke innehåller något härom, förslaget ändock strider emot vår författning. så skulle herr Reuterskiöld hava begärt, att herr talmannen måtte på hela utskottsbetänkandet och icke endast på en viss förflugen del av motiveringen vägra proposition. Ty precis samma grunder. som herr Reuterskiöld anförde emot denna ändring, anfördes också då republikfrågan var före. Det är intet förbud i grundlagen att i laga ordning ändra alla paragrafer och således ej heller den, där det talas om konungamakt, men det stred emot grunden för vår författning sade hö-</w:t>
        <w:br/>
        <w:br/>
        <w:t>gerns ledare och då var hela högern i riksdagen enig om att på denna grund skulle man vägra proposition. Nu få vi se, om herr Reuterskiöld har framgång i denna punkt hos herr talmannen eller icke. Men jag befarar, att det anses, att grunderna mot detta förslag icke äro så påtagliga, som man ansåg grunderna mot republikförslaget vara. Ty eljest skulle talmannen redan år 1919 hava vägrat proposition, och jag förmodar, att han icke gör det denna gång heller, utan där får nog herr Reuterskiöld, såsom med många av oss ibland är fallet, stå såsom »en ropandes röst 1 öknen».</w:t>
        <w:br/>
        <w:br/>
        <w:t>Nu ansåg herr Reuterskiöld också, att det icke fanns någon anledning från saklig synpunkt, man har icke visat, att förslaget var behövligt. Men jag skulle verkligen, för att återgå till den förra synpunkten, vilja fråga herr Reuterskiöld, om det finns många grunder i författning, som dock icke någon gång behöva omgestaltas. Hur skola de då kunna ändras? "Ty den är i alla fall ett människoverk även den svenska grundlagen, och tiderna förändras och vi med dem. Ja, hur skall man få ändring? Får man icke ändring i laga form, så återstår endast revolutionen, den skall man väl då ha rättighet att tillgripa? Jag undrar, om icke herr Reuterskiöld och jag till nästa riksdag, om vi äro kvar, skulle kunna förena oss om att väcka motion eller i varje fall herr Reuterskiöld snarare ensam väcka en motion om att, då eg grundlagen icke anses kunna i eljest föreskriven ordning ändras i vissa huvudpunkter, men den måste någon gång ändras, det infördes 1 författningen, vad som lär hava stått i ett annat lands författning någon folkets rätt att i stället göra revolution. Det är väl alldeles nödvändigt, ty någon ventil måste man hava, då man blir instängd i en så oerhörd förskämd luft.</w:t>
        <w:br/>
        <w:br/>
        <w:t>Ja, sedan kommer jag till herr Holmquists argument. Herr Holmquist gjorde den här gesten med utslagna händer: Herr Clason, herrar Lindhagen och Vennerström vad göres oss mera vittnesbörd behov! Den ene tror, att projektet skall gynna deras konservativa benägenheter, de andre tro, att förslagets genomförande skall gynna deras radikala önskemål. Men denna frågeställning är oriktig. Jag tror, att i frågan att vara radikal eller konservativ, äro vi precis på samma linje allihop. Ty när äro vi radikala? Jo, vi äro det, då vi ställa fordringar på andra och hava mycket tillgodohavande för oss själva; men vi äro konservativa allesammans, då det gäller att ställa fordringar på oss själva och giva något åt andra. Alltså, vi äro precis av samma kött allihop.</w:t>
        <w:br/>
        <w:br/>
        <w:t>Jag har verkligen icke alls väckt denna fråga ur konservativ eller radikal synpunkt, ty jag hatar dessa synpunkter. Jag har väckt den därför att folket någonsin skall få bliva i tillfälle att uppfostras eller uppfostra sig självt. Vart det sedan bär hän, det intresserar mig icke, ty detta är i alla fall den enda väg, på vilken man kan tänka, att det kan bära hän på ett någorlunda drägligt sätt. Vad som kommer efter mig och herr Holmquist, det känna vi icke.</w:t>
        <w:br/>
        <w:br/>
        <w:t xml:space="preserve">Så menade herr Holmquist också, att man bör vänta åtminstone tills </w:t>
      </w:r>
      <w:r>
        <w:rPr>
          <w:b/>
        </w:rPr>
        <w:t>kvinnorna¹</w:t>
      </w:r>
      <w:r>
        <w:rPr>
          <w:b w:val="0"/>
        </w:rPr>
        <w:t xml:space="preserve"> få utöva sin rösträtt. De ha fått utöva sin rösträtt redan vid val till första kammaren. Till andra kammaren få de snart</w:t>
        <w:br/>
        <w:br/>
        <w:t xml:space="preserve">också rösta och den eventualiteten kommer att inträffa längt innan denna vittutseende utredningssoppa hunnit återvända till våra tallrikar. Men herr Holmquist var fullkomligt främling för de realiteter, som det här gäller, själva denna saks synpunkt. Han tillhör ett parti, som kämpat för den allmänna och lika rösträtten, dock först på sista tiden. Först voro herrarna emot </w:t>
      </w:r>
      <w:r>
        <w:rPr>
          <w:b/>
        </w:rPr>
        <w:t>kvinnans¹</w:t>
      </w:r>
      <w:r>
        <w:rPr>
          <w:b w:val="0"/>
        </w:rPr>
        <w:t xml:space="preserve"> rösträtt — jag kommer i håg det — oerhört, icke de meniga men herrar ledare, som slutligen slöjades med av den opinion, som ni nu frukta. Ni voro emot att slopa de andra strecken i det längsta, men sedan tvingades ni av denna opinion att också borttaga dem. Tänk, om det skulle komma en tid, då opinionen tvingade eder att ej heller stanna vid den trevliga valrätt, som folket fått genom s. k. allmän och lika rösträtt, för att i stället kunna undfå något mera och något bättre.</w:t>
        <w:br/>
        <w:br/>
        <w:t>I debatten har slutligen kommit in frågan om den konsultativa folkomröstningen och den har till och med av många gjorts till den primära. Jag skall anhålla, att herrarna avfärda den såsom en fråga i detta sammanhang tillhörande det andra planet, fastän den naturligtvis kommer att väcka uppseende, då man sagt, att det kommer att inträffa något. Vad den saken angår är det naturligtvis så att, vill man saken, så är man nog för en konsultativ omröstning i vissa frågor, men vill man icke, är man emot den. Vad menas med konsultativ omröstning? Herr Holmquist sade, att den strider emot regeringsformen, som säger, att svenska folket representeras av riksdagen. Ja, men det är i besluten, vilket ej ändras genom konsultativ omröstning. Men innan riksdagen fattar beslut, tänk så många representationer, som redan nu säga sina ord innan dess och som inverka på riksdagens beslut, såsom hela ämbetsmannakåren, hela pressen. Varför skall icke folket självt kunna få inverka på riksdagens beslut genom att höras, likaväl som pressen och ämbetsverken. Jag kan icke förstå, varför man skall göra denna skillnad. Folket självt har också en instinkt. Pressen och ämbetsverken äro konstruktioner, som handla efter schablon. Då är det bättre att infordra folkets instinkt också och icke ämbetsverkens och pressens schablon. Det är ju med »folkstyrelse», som det i vår tid grälas så mycket i teorierna. Saken ställer sig så, att det här kunde vara bra att höra, vad svenska folket i allmänhet tycker om en sak och icke bara partipressen, landshövdingeämbeten och deras underlydande, landsfiskaler, länsmän och fjärdingsmän. Icke heller behövs för ändamålet någon särskild civillag men däremot antagligen pengar. Om riksdagen anslår 20,000 kronor för att i ett visst fall inrätta en sådan omröstningsapparat, så arrangerar Kungl. Maj:t saken och så komma meningsyttrandena in. Skulle det då vägras proposition på förslaget om de 20,000 kronorna? Icke skulle jag göra det, herr talman, om jag vore talman.</w:t>
        <w:br/>
        <w:br/>
        <w:t>På dessa grunder ber jag att få yrka bifall till utskottets hemställan, med betonande av den del av motiveringen, som icke berörts av några andra talare, nämligen den sakliga upplysningens omistliga värde i denna organisation.</w:t>
      </w:r>
    </w:p>
    <w:p>
      <w:pPr>
        <w:pStyle w:val="Heading2"/>
      </w:pPr>
      <w:r>
        <w:t>3. Samuel Clason (Första kammarens nationella parti, man)</w:t>
      </w:r>
    </w:p>
    <w:p>
      <w:r>
        <w:rPr>
          <w:b w:val="0"/>
        </w:rPr>
        <w:t>Så länge som debatten nu har fortgått, skall jag fatta mig ganska kort i mina repliker. Då den förste talaren emot mig, min ärade vän, herr Hellberg, ville göra gällande, att min ståndpunkt skulle på något sätt beröra svenska medborgares petitionsrätt, så är detta absolut icke fallet. Man kan naturligtvis petitionera hur mycket som helst, men man kan icke säga, att man med sådana petitioner talar å svenska folkets vägnar. Det är skillnaden.</w:t>
        <w:br/>
        <w:br/>
        <w:t>Det föreföll mig vidare, som om han menade, att min ståndpunkt skulle innebära att jag ville betaga den svenska riksdagen någon rätt som förefunnes för den att få utrönt, huru folkmeningen ligger i en viss fråga. Jag vill icke betaga den svenska riksdagen någon som helst rätt — och naturligtvis icke heller regeringen heller — som våra grundlagar tillerkänna den; men vår författning känner för närvarande icke något annat sätt för utrönande av folkets mening än genom val, och den rätten återstår naturligtvis också nu. Däremot känna icke plebiscit i särskilda frågor, vare sig man nu vill kalla det för rådgivande eller avgörande plebiscit. Sådant är för vår författning främmande; men naturligsvis kvarstår både petitionsrätten och rätten att genom val till riksdagen uttrycka sin mening, att ställa upp en fråga på valprogrammet och så utröna svenska folkets mening. Och regeringen har alldeles särskilt denna rätt att vädja till folket i val i särskilda frågor.</w:t>
        <w:br/>
        <w:br/>
        <w:t>Man har något berört nykterhetsfrågans ställning i detta sammanhang. Jag skulle vilja säga, att jag tror, att även för dem, som äro intresserade av folkomröstning i den frågan, det skulle vara det riktiga att här bifalla utskottets kläm, ty på det viset får man hela folkomröstningsfrågan utredd, hela institutet utrett, och kan få till stånd en reglering av huru detta institut skall användas, men man slipper — vad man kan riskera, om man går med på utskottets motivering i den av mig bestridda punkten — att kasta in nykterhetsfrågan eller andra frågor under folkomröstning på ett sådant sätt, att det vid varje särskilt tillfälle blir fråga om en lex in casu. Detta är för mig den avgörande frågan; det är det, som gör det så farligt att godkänna utskottets motivering.</w:t>
        <w:br/>
        <w:br/>
        <w:t>Då svarar man mig: »Det gör väl ingenting, riksdagen lär väl icke besluta många sådana tillfälliga lagar!» Jag sade redan i mitt första anförande att man genom godkännande av denna motivering skulle utsätta sig för att i vilken fråga som helst få en motion om att man skulle höra folket och att detta komme att i våra debatter kasta in ett brännämne, som för riksdagen ingalunda vore lyckligt. Dessutom komme man ju att kasta in andra brännämnen sådana som: Hur skall en dylik tillfällig folkomröstning i den särskilda frågan anordnas? Vilken majoritet skall det vara? Vilka skola rösta? Hur skall röstningen gå till? Hur skola de frånvarandes röster räknas? Skall det vara 50 eller 60 4 för bifall o. s. v.. o. s. v.? Och även den omständigheten, att man under sådana förhållanden skulle kunna riskera att vid varje fråga få en sådan motion och under debatten om den motionen kunna få höra: »Herrarna av majoriteten våga icke i denna fråga vädja till folket i val» etc.. ete.. tror jag skulle verka allde-</w:t>
        <w:br/>
        <w:br/>
        <w:t>les förryckande på vårt riksdagsarbete, likasom det icke heller stämmer med vår författning.</w:t>
        <w:br/>
        <w:br/>
        <w:t xml:space="preserve">Herr Reuterskiöld ville mot utskottets kläm göra gällande, att en skrivelse med begiran om referendum komme att röra vid vår författnings grundvalar. Jag svarar därpå vad jag redan framhöll i mitt första anförande att, vad angår maktbalansen inom vår författning, enligt min mening dessa grundvalar redan äro rubbade. Herr Reuterskiöld vill även göra gällande, att den vetenskapliga undersökning, som utskottet pekar på, icke skulle vara vägledande; den skulle bliva för vidlyftig. Det förefaller egendomligt att höra denna replik ifrån en talare, som på sin tid verkställde en mycket vidlyftig vetenskaplig undersökning rörande den </w:t>
      </w:r>
      <w:r>
        <w:rPr>
          <w:b/>
        </w:rPr>
        <w:t>kvinnliga¹</w:t>
      </w:r>
      <w:r>
        <w:rPr>
          <w:b w:val="0"/>
        </w:rPr>
        <w:t xml:space="preserve"> rösträtten och dess verkningar. Vad den nu föreliggande frågan beträffar, tror jag, att en sådan undersökning skulle visa för de herrar, som nu äro så tveksamma, huru välgörande detta institut har verkat i främmande land, och att det skulle verka välgörande även här.</w:t>
        <w:br/>
        <w:br/>
        <w:t>Vad beträffar herr Thulins anförande, fäste jag mig bland annat vid hans yttrande att inom utskottets kansli utarbetats en promemoria, som skulle visa, att konsultativ folkomröstning vore genomförbar med vår nuvarande författning. Jag tillåter mig då erinra, att det inom utskottets kansli hade vid förlidet års riksdag utarbetats en promemoria, som visade raka motsatsen. Den har jag här, och den är betydligt mycket mera utförlig och ingående än den, som presterats i år. Skall man döma efter utskottspromemorior, kan man alltså komma till vilket resultat som helst. Beklagligt är emellertid, att denna fjolårets promemoria icke är tryckt, ty den skulle hava åtskilligt av värde att meddela i denna diskussion, men det kan givetvis icke falla mig in att nu uppläsa densamma. Jag vill endast betona, att frågan om införande av referendum visst icke varit före endast hos oss. Den har exempelvis varit diskuterad mycket utförligt i Frankrike, och under de debatter, som därifrån äro refererade, uppträdde en så bekant fransk parlamentariker som Jaurés med beklagande, att författningen icke tillät införande av ett sådant konsultativt referendum. Då författningen var byggd på att folkets mening uttalades genom dess representanter, så, konstaterade han, var det icke möjligt att införa referendum på annat vis än genom att ändra författningen.</w:t>
        <w:br/>
        <w:br/>
        <w:t>Herr Thulin ville göra gällande, att jag på något sätt skulle hava citerat paragraf 89 såsom skäl mot folkomröstning utan författningsändring. Jag framhöll emellertid att hindret låg i andra paragrafer, men jag betonade, att det fanns intet undantag från regeln, att riksdagen representerade folket i fråga om de önskemål. som riksdagen enligt $ 89 regeringsformen har rätt att uttala. Även när det gäller att på det svenska folkets vägnar uttala önskemål, skall detta enligt $ 89 regeringsformen ske av riksdagen.</w:t>
        <w:br/>
        <w:br/>
        <w:t>Man har också frågat, vilket ändamål införandet av referendum genom författningsändring skulle tjäna, och en föregående ärad tolare ville göra gällande, att högern alltid hade bekämpat dylika förslag. Jag tillåter mig gentemot honom framhålla, att den ståndpunkt, som jag intar i år, är alldeles densamma som i fjol. Jag förklararde då,</w:t>
        <w:br/>
        <w:br/>
        <w:t>att jag icke företrädesvis betraktar detta referendum såsom en konservativ garanti utan såsom en modererande garanti. Den kommer att verka modererande på partimotsättningarna, därför att man kan hänskjuta särskilda frågor till folket i val, och sedan kommer att böja sig för dess votum. Den kommer att verka modererande även därutinnan, att man icke efter dess införande skall kunna säga, att avgörandet i i enstaka frågor har varit beroende på partikarteller eller byteshandel. Den kommer ock att verka modererande därutinnan — såsom det har visat sig i främmande länder, där folkomröstning är införd — att den dels i viss mån hindrar en representation att alltför hänsynslöst använda sin makt, och dels också verkar emot alltför täta omkastningar. Vad särskilt representanternas ställning beträffar, har det visat sig, att om exempelvis en representant i en viss fråga har röstat emot sitt parti och man sedermera dragit saken under folkomröstning, institutets förekomst medverkat till, att dugliga representanter fått sitta kvar. Man har vant sig ifrån att lägga partitvång på representanterna i enskilda frågor, då saken kunnat på annat sätt avgöras.</w:t>
        <w:br/>
        <w:br/>
        <w:t>Jag skall icke förlänga debatten med någon ytterligare replik, men jag skall till sist, herr talman, anhålla att få ändra mitt yrkande om särskild proposition på motiveringen och särskilt proposition på klämmen. Jag tror det blir mera enkelt om jag nu i ett sammanhang yrkar bifall till utskottets hemställan med den ändring, som jag har förslagit i motiveringen.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