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403</w:t>
      </w:r>
    </w:p>
    <w:p>
      <w:r>
        <w:rPr>
          <w:b/>
        </w:rPr>
        <w:t xml:space="preserve">Datum: </w:t>
      </w:r>
      <w:r>
        <w:t>1921-04-18</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För närvarande behandlas i kammaren en</w:t>
        <w:br/>
        <w:br/>
        <w:t>budget, som man kan betrakta såsom de andliga värdenas budget. Vid ett sådant tillfälle är det således mera förklarligt och tillåtligt, att man yttrar sig något mera vidlyftigt om dessa andliga värden och kanske med något större känsla av att man befinner sig på rätt område, än som varit fallet vid andra tillfällen, då enahanda, ehuru fruktlösa försök blivit gjorda.</w:t>
        <w:br/>
        <w:br/>
        <w:t>Enligt denna budget äro såsom de främsta representanterna för de andliga makterna satta: kyrkan, universiteten och skolan. Om skolan har jag yttrat mig i andra redan behandlade motioner. Universiteten blir jag kanske i tillfälle att skärskåda en annan gång. Här är nu fråga endast om kyrkan.</w:t>
        <w:br/>
        <w:br/>
        <w:t>Nu kan man fråga sig, då det i denna budget vimlar av kronor, om verkligen alla dessa kronor, som förekomma i de föredragna punkterna, skola avkasta något av andligt värde och vilket andligt liv döljer sig bakom dessa penninganslag. Då är det för oss alla tydligt till en början, att det bakom dessa siffror framträder ett stort levebrödssläkte, som skall ha sin utkomst liksom vi levebrödssläkten på alla andra områden. Då blir frågan den, i vad mån alla dessa ämbetsoch tjänstemän, här lika väl som på andra områden, skola kunna bliva i tillfälle att genom dessa anslag på allvar ägna sig åt att föra ut i livet just de höga uppgifter, för vilka anslagen äro ämnade.</w:t>
        <w:br/>
        <w:br/>
        <w:t>Vad är då andlig kultur? Den frågan besvaras i allmänhet i vår tid därmed, att det är den tekniskt vetenskapliga kulturen; det är dock företrädesvis en formell kultur. I anslutning härtill svaras ofta, att det är allmänbildning det gäller. Den är också i stort sett formell kultur. Den verkliga andliga kulturen är själsodling och karaktärsdaning. Detta inse vi mera sällan, trots att man gott kan säga, att det är fåfängt för oss att söka uppbygga en samhällskultur, om det icke sker på individernas kultur.</w:t>
        <w:br/>
        <w:br/>
        <w:t>Inom denna budget är anslaget till kyrkliga ändamål det enda, som har till omedelbar uppgift att främja just den verkliga andliga kulturen. Statsmakterna ha nämligen redan långt tillbaka kommit överens om att fränden för denna statsverksamhet skall vara nya testamentet. Såedes, alla de anslag, som här beviljas för kyrkliga ändamål, avse att i det praktiska livet genom de statstjänare, som med dessa anslag avlönas, förverkliga det nya testamentets samhällsgrundsatser och etiska regler för det enskilda livet. Jag tror, att det är viktigt och tidsenligt i högsta grad att nu börja syssla med den saken, icke därför att man bör fordra av kyrkans tjänare mer än av oss andra, ty kyrkans tjänare äro människor liksom vi andra, mycket vanskliga företeelser allesamman i denna ofullkomlighetens värld. Varför man bör fästa uppmärksamhet på dem särskilt är därför, att denna kyrka har just till grundval fått</w:t>
        <w:br/>
        <w:br/>
        <w:t>nya testamentet och ingenting annat. Det är emellertid icke värt, att jag nu vidare sysselsätter mig för mycket med mina egna åsikter. Jag skall genast slå in på det som imponerar mera. Det finns nämligen också auktoriteter att åberopa sig på, och jag skall då börja med min vän Mauritz Hellberg i Karlstad.</w:t>
        <w:br/>
        <w:br/>
        <w:t>Denne har nyligen skrivit en ledare i sin tidning, som heter ”Den andliga makten”. Det var med anledning av utgången av anslaget till kantorerna, som avslogs av riksdagen. Han beropar de skäl, som anfördes i debatten, men det verkliga skälet finner han — och därvid tror jag han i mycket har rätt — ligga i den alltmera växande kylan eller oviljan mot statskyrkan, som är lika oförmögen som vi andra, att i det praktiska livet fullfölja de mänskliga idealen. Härom säger han följande, som jag anhåller måtte inflyta i protokollet : ”Söker man se kyrkan såsom idé och utan att låta den förslöande vanan inverka, så ter den sig nästan som ett under. Att i varenda socken i hela länder den förnämsta byggnaden är invigd till Guds tjänst, till dyrkan av det högsta i tillvaron, varom den mot himlen pekande tornspiran står såsom en ständig påminnelse, och att på den dag som ägnats åt de andliga angelägenheterna klockornas väckande och manande klang samtidigt går ut över alla bygder — det förefaller nästan ofattligt hur redan, i tider då själarna voro råa och vilda mera än nu, en sådan institution kunnat uppstå. Det visar väl ovederläggligt vilken makt det andliga trots alla tiders materialism ändå är.”</w:t>
        <w:br/>
        <w:br/>
        <w:t xml:space="preserve">Därefter fortsätter han litet längre ned: ”Men kyrkan ådagalägger också, huru omöjligt det är för en andlig makt att bevara sig ren och obesmittad. Kyrkans män hava icke förmått hålla </w:t>
      </w:r>
      <w:r>
        <w:rPr>
          <w:b/>
        </w:rPr>
        <w:t>henne²</w:t>
      </w:r>
      <w:r>
        <w:rPr>
          <w:b w:val="0"/>
        </w:rPr>
        <w:t xml:space="preserve"> fri från denna världslighet, som </w:t>
      </w:r>
      <w:r>
        <w:rPr>
          <w:b/>
        </w:rPr>
        <w:t>hon²</w:t>
      </w:r>
      <w:r>
        <w:rPr>
          <w:b w:val="0"/>
        </w:rPr>
        <w:t xml:space="preserve"> skulle behärska. De hava icke förmått följa sin mästares sublima föredöme i ovärldslighet, de hava under skyddet av hans namn påfallande efterliknat de målsmän för gammaltestamentlig kyrklighet, som han så strängt bestraffade och fördömde. Enskilda undantag av ovärldslig fromhet hava icke kunnat uppväga regeln, att kyrkan uppträtt och verkat som en världslig makt, bindande själarna med lärosatsernas bojor, bevakande sina materiella intressen lika nitiskt som någon och förbindligt tjänande de stora och väldiga i sin ”samhällsbevarande” politik ända till redobogenhet att predika kriget, när det så krävdes”. Emellertid tillägger herr Hellberg rättvist och mänskligt: ”Det vore orättvist att döma kyrkan strängt, därför att </w:t>
      </w:r>
      <w:r>
        <w:rPr>
          <w:b/>
        </w:rPr>
        <w:t>hon²</w:t>
      </w:r>
      <w:r>
        <w:rPr>
          <w:b w:val="0"/>
        </w:rPr>
        <w:t xml:space="preserve"> icke bättre mäktat fullgöra sin höga uppgift. Ingen organiserad andlig makt skulle gjort det nämnvärt bättre.”</w:t>
        <w:br/>
        <w:br/>
        <w:t>Då herr Hellberg talar om kyrkans redobogenhet att predika kriget, erinrar jag mig ett av de plågsammaste ögonblicken i mitt liv. Det var i Berlin 1 augusti 1915, en söndag då det var påbjudet s. k. krigsgudstjänst. Där stod en stackars levebrödsmänniska på en predikstol och var tvungen att söka förhärliga kriget och åkalla en gud, som skulle giva just de tyska vapnen seger o. s. v. Det var ett oerhört föredrag, enligt min uppfattning; jag glömmer det aldrig. Jag tyckte det var</w:t>
        <w:br/>
        <w:br/>
        <w:t>synd om predikanten, som var tvungen att på detta sätt totalt skända Anslag till den uppgift han fått att fylla. Nå, även här i Sverige finns det bland kyrkliga änprästerna många, kanske en myckenhet, som ivrat till och med för kri- Forts.) get. Jag har hört sådant omtalas, sett sådant relateras ock i pressen, - huru enskilda medlemmar ur kyrkan funnit Sveriges deltagande i världs-</w:t>
        <w:br/>
        <w:br/>
        <w:t>kriget rimligt och påkallat. Det är synd om kyrkan, att det icke finnes</w:t>
        <w:br/>
        <w:br/>
        <w:t>någon känsla varken inom kyrkan eller i landet för att, då statsmak-</w:t>
        <w:br/>
        <w:br/>
        <w:t>terna bevilja pengar för det högsta ändamål, så är det icke meningen att</w:t>
        <w:br/>
        <w:br/>
        <w:t>det skall få den utgången. Nu lär det inom kyrkorna ha påbörjats en</w:t>
        <w:br/>
        <w:br/>
        <w:t>annan rörelse till det bättre. Det är möjligt, att de liksom på andra</w:t>
        <w:br/>
        <w:br/>
        <w:t>områden rinna ut i sanden, men i alla fall vilja mer eller mindre göra</w:t>
        <w:br/>
        <w:br/>
        <w:t>tillämpad politik även av kyrkans lära och utföra den i det politiska</w:t>
        <w:br/>
        <w:br/>
        <w:t>Nu en fortsättning på mina auktoriteter, och nu skall jag därvid svinga mig så högt upp som ända till ärkebiskopar.</w:t>
        <w:br/>
        <w:br/>
        <w:t>Det bildades för tjugo år sedan i England, där många mänskliga idéer ha sitt upphov, en World Brotherhood Federation eller e&amp;t världsbroderskapssamfund. Det hade till en början åtskillig framgång, men föll samman under kriget. Efter krigets slut har det gjort ett stort uppsving, efter vad som säges. Samfundet har hållit kongresser i London 1919 och i Washington 1920, och nästa kongress skall bli i Prag. Det avser att samla alla länders religiösa och även andra, oavsett samhällsställning och olika bekännelser, till en enda makt för att i det politiska och enskilda livet föra fram såsom vägledande Nya testamentets samhällsetik. Inom England har rörelsen redan fått 500,000 anhängare från alla samhällsklasser, och 80 Yo av dessa lära vara arbetare. Den första kongressen inleddes med ett budskap, adresserat till alla människor i världen, som vilja leva för broderskapstankens förverkligande. ”Budskapet börjar med att fastslå, att den värld, som omger oss i dag, är en värld av kränkta broderskapsideal. Vi möta detta faktum i tidens industriella oro, i den religiösa tvedräkten, i världskriget. Det enda, som nu kan frälsa oss, är en omdaning av vårt sociala, industriella och internationella liv på broderskapets grundval. Det kommer att kosta oss personliga offer. Äro vi villiga att bringa dem? Vi stå inför ett världshistoriskt omslag.”</w:t>
        <w:br/>
        <w:br/>
        <w:t>Vid detta tillfälle yttrade general Smuts — observerom "en general, det är ju skäl att tänka på det, när vi nu snart gå att behandla propositionen om ökande av värnplikten — ”Mänskligheten har ryckt upp sina tältpinnar och ännu en gång givit sig ut på vandring. Guds ande är i verksamhet och rör människorna i djupet av deras hjärtan. De äro gripna av en stor hunger efter rättfärdighet och broderskap, de vänta endast på ledare, som kunna samla dem och föra dem ut i det förlovade landet. Tidens fullbordan är inne. Världsscenen förberedes för ett mäktigt drama av social rekonstruktion. Anhängarna av världsbroderskapstanken hava nu ett tillfälle, som kanske ej kommer igen på tusen år. De äro kallade att föra fram Kristi vilja och skapa den bro-</w:t>
        <w:br/>
        <w:br/>
        <w:t xml:space="preserve">derlighetens anda, som omdanar vår jord till en värld, i vilken de starka och visa bruka sin styrka och visdom till de svagas bästa. En värld, i vilken vart enskilt liv har sin uppgift och är tillerkänt en rättfärdig del av det materiella, en värld, i vilken människorna betrakta allt arbete som social värnplikt, och där framstående begåvningar organisera företagen till gagn för alla, ej för de få. En värld, där nationerna betrakta sig såsom medlemmar i en familj och vart enskilt folk bevarar sina skatter till alla de andra folkens tjänst — detta är meningen med Kristi evangelium, detta är mänsklighetens stora längtan, den underbara uppgift, som väntar på alla män och </w:t>
      </w:r>
      <w:r>
        <w:rPr>
          <w:b/>
        </w:rPr>
        <w:t>kvinnor¹</w:t>
      </w:r>
      <w:r>
        <w:rPr>
          <w:b w:val="0"/>
        </w:rPr>
        <w:t xml:space="preserve"> med god vilja över hela världen.” — Med god vilja över hela världen.</w:t>
        <w:br/>
        <w:br/>
        <w:t>Den andra kongressen hölls 1920 i Washington. Där förelåg till diskussion bland annat följande: ”Broderskapet och kyrkorna”, ”Broderskap, grunden för en ny världsordning”, ”Broderskapet och industrien”, ”Broderskapet i utvecklingens tjänst” samt ”Broderskapet och världsproblemen”. Presidenten för en stor broderskapsorganisation i London och medlem av det brittiska arbetarpartiet, P. W. Toynbee, yttrade vid detta tillfälle: ”Kyrkornas sviktande förmåga att fängsla massorna är uppenbar och likväl är den andliga nöden skriande. Likgiltigheten inför kyrkorna är icke liktydig med irreligiositet. Nej, världen hungrar efter andligt liv, väntar på att en mäktig andlig demokrati skall uppstå, världsbroderskapsrörelsen är ett uttryck för denna hunger.”</w:t>
        <w:br/>
        <w:br/>
        <w:t>Pastor H. Dunnico, brittisk arbetarledare, vice president i världsfredsföreningen och medlem av Londons kommunalstyrelse yttrade bland annat vid samma tillfälle : ”Kristna teorier ha intet värde, om de icke ge sig uttryck i praktiken. Att organisera kyrkosamfund är gott och väl, men om ej kyrkorna bidraga till massornas industriella och ekonomiska välfärd, förtjäna de icke namnet av kristliga institutioner. Kristi kyrka kan icke längre erkänna ett system, som producerar millionärer och proletärer. Det går icke längre an att predika moral för svältande skaror. Mätta dem först! Giv dem icke längre välgörenhet utan rättvisa !”</w:t>
        <w:br/>
        <w:br/>
        <w:t>En talare, medlem av Londons undervisningsråd, citerade ärkebiskopen av Canterbury, som hade yttrat: ”Kyrkan har orättfärdigt gjort sig till tjänare åt de besittande och härskande klasserna. Vi hava nöjt oss med att småreparera tidens brister i stället för att gå till roten av det onda. Vår enda räddning består däri att sätta rättfärdighet, barmhärtighet och broderskap som styrande makter i alla mänskliga förhållanden”. |</w:t>
        <w:br/>
        <w:br/>
        <w:t>Vid slutet av mötet var det en talare, en av det brittiska arbetarpartiets representanter, som sammanfattade kongressens ledande tankar i följande översikt av världssituationen: ”Den världsoro, som slår oss till mötes på alla områden, är ett tecken på liv, på växt. Den bör fylla oss med hopp och förväntan. Den religiösa oron varslar om en mäktig rörelse på det andliga området. Gränserna skola falla mellan de många kyrkosamfunden, ja, mellan de stora världsreligionerna. Tiden är nära, då människorna skola erkänna, att det är en Gud och allas vår fader</w:t>
        <w:br/>
        <w:br/>
        <w:t>som är källan till allt religiöst liv på jorden”. — Den sociala och inter- Anslag till nationella oron”, fortsatte han, ”är ett uttryck för mänsklighetens längkyrkliga än-</w:t>
        <w:br/>
        <w:br/>
        <w:t>tan att se broderskapets ideal förverkligade i det sociala och mellan- (Fo folkliga livet. Bakom rörelserna i massornas djup — så frånstötande många gånger 1 sina yttre former — stå mäktiga andliga krafter fär-</w:t>
        <w:br/>
        <w:br/>
        <w:t>diga att omskapa världen till ett Guds rike på jorden”.</w:t>
        <w:br/>
        <w:br/>
        <w:t>Där rörelsen nu blivit stark, har man börjat uppställa kandidater till kommunalråden i Englands städer, där de kunna hava något inflytande.</w:t>
        <w:br/>
        <w:br/>
        <w:t>I det slutliga programmet som antogs, framhölls det, att ”förbundet skulle svika sitt program, om det icke sökte leda de andliga krafterna in i kanaler, som komma hela samhället till godo. Inga kortsynta kompromisser mellan enskilda grupper och organisationer för att uppnå en kortvarig fred, inga lättköpta fördelar, nej, klara principiella linjer — redlig politik.”</w:t>
        <w:br/>
        <w:br/>
        <w:t>Ja, detta är nu några citat ur vad som rör sig på några håll i världen.</w:t>
        <w:br/>
        <w:br/>
        <w:t>Nu har motionären tillåtit sig hemställa beträffande anslagen för kyrkliga ändamål, ”att riksdagen vid behandlingen av det under åttonde huvudtiteln begärda anslaget till kyrkliga ändamål måtte godtaga det allenast under uttalad förväntan, att den andliga vägledning och själavård för folket, som därvid avses, icke förblir en tom dekoration vid gudstjänsttider och andra högtidliga tillfällen, utan att kyrkan tager initiativ till, att de krav på individer och samhälle, som av densamma skola predikas, må omsättas i praktiken och bli vägledande även för den vardagliga politiken i regering, riksdag, ämbetsverk, partiorganisationer, det enskilda livet och annorstädes.”</w:t>
        <w:br/>
        <w:br/>
        <w:t>Då det icke lyckats att framföra denna tanke i andra motioner, i annat sammanhang, har jag emellertid trott, att i detta sammanhang skulle det åtminstone kunna anses mycket försvarligt. Ty riksdagen plägar vara mån om att få valuta för sina pengar, och då det gäller förverkligande av Nya testamentets samhällsgrundsatser, är det icke för mycket begärt att tänka på detta och icke kasta pengarna fullständigt i sjön.</w:t>
        <w:br/>
        <w:br/>
        <w:t>Vad svarar nu statsutskottet? Jo, det svarar: ”Vidkommande de i motionen framhållna önskemålen finner utskottet det icke möjligt att genom en i samband med statsregleringen uttalad förväntan uppnå det mål, vartill motionären syftar.”</w:t>
        <w:br/>
        <w:br/>
        <w:t>I vilket samband anser utskottet, att man kan uppnå det där målet? Om alla försök, som gjorts, har det sagts: icke nu och icke i detta sammanhang. Och så kommer det att bliva i evighet. Vad beror det på? Jo, det beror på, att vi allesammans sakna den goda viljan. Och det är icke underligt, att vi äro generade för att uttala oss för något, då vi känna inom oss, att vi inte hava den goda viljan. Jag finner utskottets uttalande mycket förklarligt, men å andra sidan är det</w:t>
        <w:br/>
        <w:br/>
        <w:t>ett försvar för motionen, ty det är tydligt, att den, som ursakar sig, han anklagar sig, och det är "fallet med statsutskottet.</w:t>
        <w:br/>
        <w:br/>
        <w:t>Nu vill jag 'i allt fall meddela, att utskottsavdelningen hade ursprungligen en välvilligare formulering, och den lydde på det sättet:</w:t>
        <w:br/>
        <w:br/>
        <w:t>”Vidkommande de i motionen framhållna önskemålen vill utskottet skänka desamma sin sympati såsom ett uttryck för en ideell och ädel strävan att söka i de andliga värdena vinna den grund, på vilken samhällslivet bör byggas. Att emeliertid i samband med statsregleringen eller ens på lagstiftningens väg vidtaga åtgärder för vinnande av det mål, vartill motionen syftar torde enligt utskottets mening näppeligen vara görligt.”</w:t>
        <w:br/>
        <w:br/>
        <w:t>Slutsatsen är densamma, och jag förstår mycket väl, att statsutskottet tyckte, att det icke var värt, att brodera ut denna sak ännu mera, då vi i allt fall icke tänkt orientera oss i denna riktning, utan våra gamla partislagsmål i valrörelse och annat skola fortfara till skada för folk, land och mänsklighet. Det sista erkännandet göra vi ju inte i vanliga fall, men i våra ljusa stunder medgiva vi allesammans att tiden är ur led och i ingen tor de bestrida, att världen bör förbättras, när vi tala därom förtroligt inom fyra väggar.</w:t>
        <w:br/>
        <w:br/>
        <w:t>Nu är detta som sagt en mycket svår sak, den svåraste av alla, och det är icke meningen med denna motion, att man skulle med ens införa det tusenåriga riket såsom utskottet tycks hålla före, utan meningen är, att vid alla tillfällen, då denna fråga be eröres, skall givas ett uttryck för en önskan om sinnesförändring i vår praktiska politik, och det är bara detta, som jag i detta sammanhang r vara synnerligen på sin plats att hoppas på. När vi här bevilja anslag för att i samhällslivet förverkliga Nya testamentet i en av statsmakterna för detsamma antagen grundlag, så bör det åtminstone inte vara för mycket begärt att få uttala vår önskan att få denna valuta för våra penningar. Vore det icke meningen, då, herr talman, måste jag yrka avslag å det hela, ty vad tjänar anslaget då till?</w:t>
        <w:br/>
        <w:br/>
        <w:t>Emellertid, herr talman, ber jag nu att med åberopande av de skäl jag anfört och till ledning för oss alla utan undantag få yrka, att kammaren med bifall i de nu föredragna punkter till den motivering, som föreligger i motionen, ville bifalla utskottets yrkande i samma punkter.</w:t>
      </w:r>
    </w:p>
    <w:p>
      <w:pPr>
        <w:pStyle w:val="Heading2"/>
      </w:pPr>
      <w:r>
        <w:t>2. Karl Ekman (Första kammarens nationella parti, man)</w:t>
      </w:r>
    </w:p>
    <w:p>
      <w:r>
        <w:rPr>
          <w:b w:val="0"/>
        </w:rPr>
        <w:t>Herr greve och talman, mina herrar! Det är en rätt allmän föreställning, att världskriget och den katastrof, som övergår världen, icke hade varit möjliga, ifall kyrkan och kristendomen hade varit av den beskaffenheten att verkligen kunna omskapa folklivet till en högre fullkomning; men jag tror, att man ser denna sak alltför ytligt. Religionen, och särskilt kristendomen, är en källa till rening och förnyelse av folklivet, en källa som aldrig sinar; men felet ligger däruti, såsom den ärade motionären sade, att vi alla sakna den goda viljan. Det är icke möjligt att hämta styrka och liv ur källan utan att man dricker ur den.</w:t>
        <w:br/>
        <w:br/>
        <w:t>Utskottet har ställt sig avvisande mot motionen, men enligt min tanke med orätt. Det är visserligen sant, att man härutinnan svårligen kan föreslå några särskilda åtgärder eller lagbestämmelser. Men det behövs icke heller och begäres icke av motionären. Här är icke fråga om yttre åtgärder eller trånga lagbestämmelser, utan om en inre förändring, en ”andlig revolution”, såsom motionären säger. Hela världen behärskas av en krass materialism. De bärande andliga värdena äro döda i folklivet. Allt går ut på materiell vinning. Tankarna bland folkets stora flertal röra sig kring höga kapitalvinster, höga löner, höjd levnadsstandard eller ock kring farhågorna för ekonomisk depression, tryckta konjunkturer och tryckta levnadsförhållanden. Världen har säkerligen aldrig förr upplevat en tid av så öppen likgiltighet för religionen. Även under Greklands och Roms djupaste förfall dyrkades gudarna om ock på ett oriktigt och förvänt sätt. Och se vi på förhållandena i vårt land, torde icke någon tid kunna uppletas, som varit så främmande för högre andliga intressen som vår tid.</w:t>
        <w:br/>
        <w:br/>
        <w:t>Det har inte alltid varit så. Under gångna tider var religionen såväl hos våra hedniska förfäder som under medeltiden och hela katolska tiden på det intimaste sammanflätad med det dagliga livet såväl i hem som samhälle; varenda dag återkom i varje människas liv religionen på ett eller annat sätt. Och enahanda var förhållandet efter reformationen ända till långt fram i våra dagar. Religionens utövning var en hela folkets gemensamma sal. Låt vara, att den mången gång uppfattades på ett ensidigt och trångbröstat sätt; den införde dock i samhällslivet en idealism, som icke blott var en tom dekoration, utan verkligen gjorde sig gällande i det dagliga livet. Det var från denna andliga källa vårt folk i gångna tider hämtade kraft att genomkämpa tider av nöd och umbäranden, mot villa de gångna Irisåren äro att rälna såsom en barnlek. Den som känner historien vet det mer än väl; då var verkligen religionen en kraft i folllivet och då visade sig, att den inte är det odugliga surrogat, som man nu vill göra den till.</w:t>
        <w:br/>
        <w:br/>
        <w:t>Den katastrof, som övergått Europa, är den naturliga konsekvensen av en civilisation, blottad på alla verkligt bärande andliga värden. Och sörjes det icke för att även i vårt folkliv de andliga värdena komma att åter intaga sin rättmätiga plats, så kommer en liknande katastrof att på ett eller annat sätt oundvikligen övergå även vårt land. Vi äro redan långt ute på det sluttande planet. Kristiden blottade ett frultansvärt djup av självisk njutningslystnad, laglöshet och sedlig förvildning, som man hade trott bland vårt folk icke vara möjligt.</w:t>
        <w:br/>
        <w:br/>
        <w:t>Hur skall nu en ny och bättre anda kunna åstadkommas? Motionären begär ett initiativ från kyrkans sida. Därmed har han givit en fingervisning, som jag tror, att vårt folk gjorde klokt uti att uppmärksamma. De rent humanitära bildningssträvandena äro värda all aktning; men de förmå icke åstadkomma den inre förändring, den ”andliga revolution”, som här är nödvändig. Religionen ensam är i stånd därtill; men man kan inte begära, att den skall åstadkomma denna verkan, om</w:t>
        <w:br/>
        <w:br/>
        <w:t>man vänder den ryggen. Nu är det ju sant, att religionen icke är ovillkorligen bunden vid kyrkan, sådan vi ha den i vårt land. En religiös pånyttfödelse icke endast av den enskilde utan av folket i dess helhet åsyftas även av de frireligiösa sammanslutningar, som finnas hos oss. Och vi kunna vara tacksamma för den insats de gjort i vårt folks liv. Utan denna insats under det föregående århundradet skulle vi, det är min övertygelse, vara i ett vida sämre läge än vi nu äro. Men deras verkningskrets är likväl allt för inskränkt. De nå icke på samma sätt som kyrkan folket i dess helhet.</w:t>
        <w:br/>
        <w:br/>
        <w:t xml:space="preserve">Det är en mycket betydelsefull uppgift, kyrkan har ibland vårt folk; och denna uppgift är under nuvarande tidsförhållanden mera krävande än kanske någonsin förr. Det är helt visst i känslan härav, som motionären upptagit denna fråga och av kyrkan begär ökat initiativ, ökad kraft och iver. Det ligger i viss mån en förebråelse mot kyrkan häruti. Och det skall villigt medgivas, att </w:t>
      </w:r>
      <w:r>
        <w:rPr>
          <w:b/>
        </w:rPr>
        <w:t>hon²</w:t>
      </w:r>
      <w:r>
        <w:rPr>
          <w:b w:val="0"/>
        </w:rPr>
        <w:t xml:space="preserve"> icke alltid fyllt sin uppgift så, som </w:t>
      </w:r>
      <w:r>
        <w:rPr>
          <w:b/>
        </w:rPr>
        <w:t>hon²</w:t>
      </w:r>
      <w:r>
        <w:rPr>
          <w:b w:val="0"/>
        </w:rPr>
        <w:t xml:space="preserve"> skulle- Men även inom kyrkan har ett uppvaknande skett. </w:t>
      </w:r>
      <w:r>
        <w:rPr>
          <w:b/>
        </w:rPr>
        <w:t>Hon²</w:t>
      </w:r>
      <w:r>
        <w:rPr>
          <w:b w:val="0"/>
        </w:rPr>
        <w:t xml:space="preserve"> . känner tidens nöd och dess krav, och </w:t>
      </w:r>
      <w:r>
        <w:rPr>
          <w:b/>
        </w:rPr>
        <w:t>hon²</w:t>
      </w:r>
      <w:r>
        <w:rPr>
          <w:b w:val="0"/>
        </w:rPr>
        <w:t xml:space="preserve"> är ivrigt verksam för att, så vitt på </w:t>
      </w:r>
      <w:r>
        <w:rPr>
          <w:b/>
        </w:rPr>
        <w:t>henne²</w:t>
      </w:r>
      <w:r>
        <w:rPr>
          <w:b w:val="0"/>
        </w:rPr>
        <w:t xml:space="preserve"> beror — icke i egen kraft, men i den kraft, som ovanefter varder </w:t>
      </w:r>
      <w:r>
        <w:rPr>
          <w:b/>
        </w:rPr>
        <w:t>henne²</w:t>
      </w:r>
      <w:r>
        <w:rPr>
          <w:b w:val="0"/>
        </w:rPr>
        <w:t xml:space="preserve"> given — söka åstadkomma den andliga förnyelse av folklivet, som måste komma, om ej vårt folk skall gå alldeles under.</w:t>
        <w:br/>
        <w:br/>
        <w:t xml:space="preserve">Det är kyrkans uppgift att åter göra religionen till en levande verklighet ibland folket. Men hur skall </w:t>
      </w:r>
      <w:r>
        <w:rPr>
          <w:b/>
        </w:rPr>
        <w:t>hon²</w:t>
      </w:r>
      <w:r>
        <w:rPr>
          <w:b w:val="0"/>
        </w:rPr>
        <w:t xml:space="preserve"> kunna göra det, om </w:t>
      </w:r>
      <w:r>
        <w:rPr>
          <w:b/>
        </w:rPr>
        <w:t>hon²</w:t>
      </w:r>
      <w:r>
        <w:rPr>
          <w:b w:val="0"/>
        </w:rPr>
        <w:t xml:space="preserve"> från alla håll blott mötes av likgiltighet, misstro eller hat. Från många håll arbetar man ivrigt på att försvaga kyrkans ställning, att förödmjuka </w:t>
      </w:r>
      <w:r>
        <w:rPr>
          <w:b/>
        </w:rPr>
        <w:t>henne²</w:t>
      </w:r>
      <w:r>
        <w:rPr>
          <w:b w:val="0"/>
        </w:rPr>
        <w:t xml:space="preserve">, att tränga </w:t>
      </w:r>
      <w:r>
        <w:rPr>
          <w:b/>
        </w:rPr>
        <w:t>henne²</w:t>
      </w:r>
      <w:r>
        <w:rPr>
          <w:b w:val="0"/>
        </w:rPr>
        <w:t xml:space="preserve"> tillbaka. </w:t>
      </w:r>
      <w:r>
        <w:rPr>
          <w:b/>
        </w:rPr>
        <w:t>Hon²</w:t>
      </w:r>
      <w:r>
        <w:rPr>
          <w:b w:val="0"/>
        </w:rPr>
        <w:t xml:space="preserve"> bär villigt förödmjukelserna, om </w:t>
      </w:r>
      <w:r>
        <w:rPr>
          <w:b/>
        </w:rPr>
        <w:t>hon²</w:t>
      </w:r>
      <w:r>
        <w:rPr>
          <w:b w:val="0"/>
        </w:rPr>
        <w:t xml:space="preserve"> blott kan få hjälpa vårt folk ur dess nöd. </w:t>
      </w:r>
      <w:r>
        <w:rPr>
          <w:b/>
        </w:rPr>
        <w:t>Hon²</w:t>
      </w:r>
      <w:r>
        <w:rPr>
          <w:b w:val="0"/>
        </w:rPr>
        <w:t xml:space="preserve"> begär intet annat än att få tjäna. </w:t>
      </w:r>
      <w:r>
        <w:rPr>
          <w:b/>
        </w:rPr>
        <w:t>Hennes²</w:t>
      </w:r>
      <w:r>
        <w:rPr>
          <w:b w:val="0"/>
        </w:rPr>
        <w:t xml:space="preserve"> högsta önskan är, att den gudomliga sanning, </w:t>
      </w:r>
      <w:r>
        <w:rPr>
          <w:b/>
        </w:rPr>
        <w:t>hon²</w:t>
      </w:r>
      <w:r>
        <w:rPr>
          <w:b w:val="0"/>
        </w:rPr>
        <w:t xml:space="preserve"> förkunnar, måtte få genomtränga hela folklivet och sopa bort all denna själviskhet, denna vinningsoch njutningslystnad, denna laglöshetens och självsvåldets ände, som slagit sina klor i folksjälen. </w:t>
      </w:r>
      <w:r>
        <w:rPr>
          <w:b/>
        </w:rPr>
        <w:t>Hon²</w:t>
      </w:r>
      <w:r>
        <w:rPr>
          <w:b w:val="0"/>
        </w:rPr>
        <w:t xml:space="preserve"> vill giva den andliga friskhet och kraft, som fordras för uppbyggande av ett nytt samhälle, grundat på kärlekens och rättfärdighetens grundsatser.</w:t>
        <w:br/>
        <w:br/>
        <w:t>Men man kan icke av kyrkan begära allt. Den andliga revolution, varom här är fråga, måste komma inifrån. Kyrkans arbete måste mötas av en vilja till rättfärdighet hos folket självt.</w:t>
        <w:br/>
        <w:br/>
        <w:t>Det finns anknytningspunkter ; men den inre tvedräkt, som söndersliter vårt folk, står även här hindrande i vägen. Det finns knappt en mörkare punkt i vårt folkliv än schismen mellan kyrkan och de frikyrkliga samfunden. De arbeta ju för samma mål, och likväl bekämpa de varandra. Jag skall icke efterfråga, var skulden ligger; bägge hava felat. Men inför tidens nödläge måste de åter finna varandra och med förtroende stödja varandras arbete.</w:t>
        <w:br/>
        <w:br/>
        <w:t>Att från socialdemokratiskt håll så mycken fientlighet visats emot kyrkan är förklarligt, då arbetarrörelsen hos oss från början ställt sig så avgjort på rent materialistisk grund. Men många tecken tyda på,</w:t>
        <w:br/>
        <w:br/>
        <w:t>att även inom arbetarnas led den sanningen börjar klarna, att människan Anslag till lever icke allenast av bröd. Själens behov kunna i längden icke un- BY haga dertryckas; och den starkaste drivkraften till åstadkommande av rätt- (Forts.) färdighet även i de yttre samhällsförhållandena är den religion, vilkens förnämsta bud är detta: ”Du skall älska Herren din Gud av allt ditt hjärta och din nästa såsom dig själv.”</w:t>
        <w:br/>
        <w:br/>
        <w:t xml:space="preserve">Det finnes ingen religion, som står det verkligt berättigade i socialdemokratien närmare än den kristna religion, som vår kyrka förkunnar. Och finge de kärlekens och rättfärdighetens grundsatser, </w:t>
      </w:r>
      <w:r>
        <w:rPr>
          <w:b/>
        </w:rPr>
        <w:t>hon²</w:t>
      </w:r>
      <w:r>
        <w:rPr>
          <w:b w:val="0"/>
        </w:rPr>
        <w:t xml:space="preserve"> lär, verkligen genomtränga alla lager av vårt folk och komma till uttryck icke blott vid högtidliga tillfällen, för att snart åter bortglömmas, utan som en makt i vårt dagliga samfundsliv, så skulle vi icke behöva frukta för framtiden. Då vore den sociala frågan löst på den enda väg, på vilken den kan lösas.</w:t>
        <w:br/>
        <w:br/>
        <w:t>Det skulle vara i högsta grad önskligt, om riksdagen i dag ville giva ett påtagligt bevis på den vilja till rättfärdighet, som är första förutsättningen för vårt folks pånyttfödelse. Ett sådant bevis skulle otvivelaktigt ligga uti ett bifall till herr Lindhagens motion.</w:t>
        <w:br/>
        <w:br/>
        <w:t>Jag yrkar alltså bifall till denna motion.</w:t>
      </w:r>
    </w:p>
    <w:p>
      <w:pPr>
        <w:pStyle w:val="Heading2"/>
      </w:pPr>
      <w:r>
        <w:t>3. Olof Bergqvist (Högerns riksdagsgrupp, man)</w:t>
      </w:r>
    </w:p>
    <w:p>
      <w:r>
        <w:rPr>
          <w:b w:val="0"/>
        </w:rPr>
        <w:t>Herr greve och talman! Jag är den förste att vilja erkänna, att det ligger ett gott syfte bakom den motion, som herr Lindhagen på denna punkt framburit, och jag vill också uttala min glädje över de erkännsamma ord, han uttalat om kyrkan såsom bärare av andlig kultur och andliga värden. Emellertid, då jag nu har att tala icke såsom biskop, utan såsom ledamot av statsutskottet, måste jag säga, att det är absolut omöjligt för statsutskottet att upptaga en religiös, kyrklig debatt i samband med budgeten. Därför kan jag icke ingå på de synpunkter, som här blivit framhållna av motionären och av den siste ärade talaren. Jag tycker emellertid, att i allt det vackra och ideella, som herr Lindhagen uttalade, var det en synpunkt, som föreföll mig vara något krass. Det var, när herr Lindhagen framhöll, att riksdagen måste se till, att den ”får valuta för sin penningar”. Ja, gäller det rent materiella ting, till vilka man beviljar anslag, är det klart, att man kan anlägga den synpunkten, men gäller det rent andliga ting, är det omöjligt att kunna uppväga värdena i kronor och öre. Detta är fallet icke bara med kyrkan, det gäller också universiteten, skolorna och hela den andliga kulturen över huvud taget. Men att riksdagen i allt fall förväntar, att dessa anslag, som beviljas, skola bära frukt på det andliga området, det är självklart, och det ligger i själva beviljandet av anslagen. Nu sade herr Lindhagen, att det tycktes vara omöjligt att få fram den tanke, som ligger till grund för motionen på någon punkt av riksdagens arbete. Då från statsutskottets sida förklaras, att här i varje fall icke är rätta platsen, så frågar herr Lindhagen: i vilket samband anser utskottet, att detta syfte skall kunna uppnås? Ett utskott, herr Lindhagen, som står mammon så nära som statsutskottet, kan icke giva svar på den frågan. Med allt behjärtande av de vackra</w:t>
        <w:br/>
        <w:br/>
        <w:t>tankar, som herr Lindhagen uttalade i sitt anförande, och den upphöjda åskådning, som ligger till grund för hans motion, kan jag likväl icke annat än yrka bifall till utskottets förslag.</w:t>
      </w:r>
    </w:p>
    <w:p>
      <w:pPr>
        <w:pStyle w:val="Heading2"/>
      </w:pPr>
      <w:r>
        <w:t>4. Ernst Klefbeck (Socialdemokraterna, man)</w:t>
      </w:r>
    </w:p>
    <w:p>
      <w:r>
        <w:rPr>
          <w:b w:val="0"/>
        </w:rPr>
        <w:t xml:space="preserve">Det var herr Karl Johan Ekman, som uppkallade mig. Jag ville säga, att jag är glad över den allmänna läggning, hans anförande fick och de synpunkter, som han betonade, men det var ett par detaljer, som jag ville opponera mig emot. Jag fick nämligen det intrycket, att han icke riktigt följt med sin tid. Ty han gjorde gällande, att ett förhållande, som rådde längre tillbaka i tiden, fortfarande råder. Så t. ex. när han talade om, hur hätskt kyrkan och de frikyrkliga bekämpa varandra, får jag säga, att åtminstone i stora delar av vårt land den kampen har slutat och att vi möta varandra med mycket stort förtroende och samverkan så långt det är möjligt. Likaså när han sade, att socialdemokraterna visade en så utpräglad fiendskap mot kyrkan, så vill jag säga, att det har kanske varit så, men det hade ”sina rutiga skäl och randiga orsaker”, som man brukar säga. Det är inte bara det, att socialdemokratien gick ut från Marx uppfattning och under sin första tid huvudsakligen inspirerades därifrån, utan kyrkan har också en fruktansvärt stor skuld genom det sätt, varpå </w:t>
      </w:r>
      <w:r>
        <w:rPr>
          <w:b/>
        </w:rPr>
        <w:t>hon²</w:t>
      </w:r>
      <w:r>
        <w:rPr>
          <w:b w:val="0"/>
        </w:rPr>
        <w:t xml:space="preserve"> uppträdde gent emot de berättigade krav, som framfördes från arbetarhåll. Men jag tror, att jag kan säga, att ju mera våra arbetargrupper kommit kyrkan nära, har den fiendskapen betydligt avtagit. Vi hava här i Stockholm —- jag tror i varenda församling — medlemmar i våra kyrkoråd, som tillhöra det socialdemokratiska partiet, och jag har från alla mina ämbetsbröder i konsistorium fått ett enstämmigt vittnesbörd, att de alla med intresse och förståelse och med blick för vad kyrkan kräver och uträttar deltaga i och stödja kyrkorådets arbete. Och jag hörde från en kyrkoherde, på Östermalm för resten, ett yttrande häromdagen, däri han sade, att en framstående socialdemokratisk verkmästare givit uttryck för sin varma erkänsla för det goda, som kyrkan utfört, och sin tacksamhet för detta. Att detta omslag har inträffat beror därpå, tror jag, att många arbetare förstått, att kyrkan genom sin gärning och förkunnelse har givit stöd åt en hel del av deras berättigade krav. Jag tror för min del, att detta bättre förhållande skulle än vidare kunna utvecklas, om prästerna i allmänhet i landet förstode sin tid: När jag säger det, kommer jag särskilt 7: tänka på, vad jag nyss såg i tidningarna om vad som förekommit vid de nyligen avslutade inskrivningsrevisionerna. Då en hel mängd präster skulle giva intyg åt personer, som på grund av samvetsbetänkligheter ville fritagas från värnpliktsskyldigheten, så gåvo de intyg av sådan natur, att man måste från kyrkligt håll beklaga, att sådana framkommit.</w:t>
        <w:br/>
        <w:br/>
        <w:t>Vad sedan själva saken beträffar, ber jag bara att, även om jag tror mig inse, att något i lagstiftningsväg icke i detta sammanhang kan åstadkommas, få instämma i de önskemål, som framburits av herr Lindhagen.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