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1518</w:t>
      </w:r>
    </w:p>
    <w:p>
      <w:r>
        <w:rPr>
          <w:b/>
        </w:rPr>
        <w:t xml:space="preserve">Datum: </w:t>
      </w:r>
      <w:r>
        <w:t>1921-05-11</w:t>
      </w:r>
    </w:p>
    <w:p>
      <w:r>
        <w:rPr>
          <w:b/>
        </w:rPr>
        <w:t xml:space="preserve">Kammare: </w:t>
      </w:r>
      <w:r>
        <w:t>Andra kammaren</w:t>
      </w:r>
    </w:p>
    <w:p>
      <w:r>
        <w:rPr>
          <w:b/>
        </w:rPr>
        <w:t xml:space="preserve">Antal yttranden: </w:t>
      </w:r>
      <w:r>
        <w:t>11</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Lars Borggren (Socialdemokraterna, man)</w:t>
      </w:r>
    </w:p>
    <w:p>
      <w:r>
        <w:rPr>
          <w:b w:val="0"/>
        </w:rPr>
        <w:t>Herr talman! Jag har vid denna punkt avgivit en blank reservation och ber att få säga några ord till motivering för densamma.</w:t>
        <w:br/>
        <w:br/>
        <w:t xml:space="preserve">Herr Leander har väckt en motion, i vilken han hemställt, »det riksdagen ville medgiva, att avlidne ritaren vid ingenjörsdepartementets i Karlskrona ritkontor Fritz Hammars </w:t>
      </w:r>
      <w:r>
        <w:rPr>
          <w:b/>
        </w:rPr>
        <w:t>änka²</w:t>
      </w:r>
      <w:r>
        <w:rPr>
          <w:b w:val="0"/>
        </w:rPr>
        <w:t xml:space="preserve">, Emilia Maria Hammar, född Jakobsson, må, så länge </w:t>
      </w:r>
      <w:r>
        <w:rPr>
          <w:b/>
        </w:rPr>
        <w:t>hon²</w:t>
      </w:r>
      <w:r>
        <w:rPr>
          <w:b w:val="0"/>
        </w:rPr>
        <w:t xml:space="preserve"> förbliver i sitt nuvarande </w:t>
      </w:r>
      <w:r>
        <w:rPr>
          <w:b/>
        </w:rPr>
        <w:t>änkestånd²</w:t>
      </w:r>
      <w:r>
        <w:rPr>
          <w:b w:val="0"/>
        </w:rPr>
        <w:t xml:space="preserve">, från och med den 1 januari 1921 å allmänna indragningsstaten uppbära ett årligt understöd av 400 kronor.» Och de olika myndigheterna ha yttrat sig över densamma. Direktionen över flottans pensionskassa har anfört, att denne person icke varit delägare i den </w:t>
      </w:r>
      <w:r>
        <w:rPr>
          <w:b/>
        </w:rPr>
        <w:t>änkepensionskassa²</w:t>
      </w:r>
      <w:r>
        <w:rPr>
          <w:b w:val="0"/>
        </w:rPr>
        <w:t xml:space="preserve">, som finnes, och att de efterlevande icke därifrån kunnat erhålla något gratial, och därför har icke direktionen kunnat vara med om att tillstyrka något understödsbelopp. Men det är icke längre sedan än 1919, som riksdagen beslöt tillerkänna åt </w:t>
      </w:r>
      <w:r>
        <w:rPr>
          <w:b/>
        </w:rPr>
        <w:t>änkan²</w:t>
      </w:r>
      <w:r>
        <w:rPr>
          <w:b w:val="0"/>
        </w:rPr>
        <w:t xml:space="preserve"> efter en daglönare vid marinen ett understöd på 300 kronor om året. I det fallet har således riksdagen på ett tidigare stadium beslutat att giva änkor efter sådana personer understöd.</w:t>
        <w:br/>
        <w:br/>
        <w:t xml:space="preserve">Nu brukar man alltid, då det gäller att bevilja dessa pensionsbelopp, stödja sig på vad statskontoret uttalat. Som man finner på sidan 16 i utskottsbetänkandet, har statskontoret uttalat sig för att det skulle vara berättigat, om något understöd bereddes åt </w:t>
      </w:r>
      <w:r>
        <w:rPr>
          <w:b/>
        </w:rPr>
        <w:t>änkan²</w:t>
      </w:r>
      <w:r>
        <w:rPr>
          <w:b w:val="0"/>
        </w:rPr>
        <w:t xml:space="preserve"> på så sätt, att </w:t>
      </w:r>
      <w:r>
        <w:rPr>
          <w:b/>
        </w:rPr>
        <w:t>hon²</w:t>
      </w:r>
      <w:r>
        <w:rPr>
          <w:b w:val="0"/>
        </w:rPr>
        <w:t xml:space="preserve"> fick ett årligt understöd av 150 kronor till uppfostringsbidrag åt makarnas minderårige son. Statskontoret har således ansett det berättigat, att något understöd bereddes </w:t>
      </w:r>
      <w:r>
        <w:rPr>
          <w:b/>
        </w:rPr>
        <w:t>änkan²</w:t>
      </w:r>
      <w:r>
        <w:rPr>
          <w:b w:val="0"/>
        </w:rPr>
        <w:t xml:space="preserve">. Då det nu är alldeles omöjligt att här yrka kifall till vad statskontoret egentligen uttalat, på den grund att motionen icke är så avfattad, att något bidrag kan utgå till denna </w:t>
      </w:r>
      <w:r>
        <w:rPr>
          <w:b/>
        </w:rPr>
        <w:t>änkas²</w:t>
      </w:r>
      <w:r>
        <w:rPr>
          <w:b w:val="0"/>
        </w:rPr>
        <w:t xml:space="preserve"> minderårige son, så har jag det oaktat icke kunnat uraktlåta att åtminstone framställa ett yrkande, att ett understöd beredes </w:t>
      </w:r>
      <w:r>
        <w:rPr>
          <w:b/>
        </w:rPr>
        <w:t>änkan²</w:t>
      </w:r>
      <w:r>
        <w:rPr>
          <w:b w:val="0"/>
        </w:rPr>
        <w:t xml:space="preserve"> i stället, vilket understöd då kunde bli till uppfostringsbidrag för sonen.</w:t>
        <w:br/>
        <w:br/>
        <w:t xml:space="preserve">Jag tillåter mig därför, herr talman, hemställa, att riksdagen ville medgiva, att avlidne ritaren vid ingenjörsdepartementets i Karlskrona ritkontor Fritz Hammars </w:t>
      </w:r>
      <w:r>
        <w:rPr>
          <w:b/>
        </w:rPr>
        <w:t>änka²</w:t>
      </w:r>
      <w:r>
        <w:rPr>
          <w:b w:val="0"/>
        </w:rPr>
        <w:t xml:space="preserve">, Emilia Maria Hammar, född Jakobsson, må, så länge </w:t>
      </w:r>
      <w:r>
        <w:rPr>
          <w:b/>
        </w:rPr>
        <w:t>hon²</w:t>
      </w:r>
      <w:r>
        <w:rPr>
          <w:b w:val="0"/>
        </w:rPr>
        <w:t xml:space="preserve"> förbliver i sitt nuvarande </w:t>
      </w:r>
      <w:r>
        <w:rPr>
          <w:b/>
        </w:rPr>
        <w:t>änkestånd²</w:t>
      </w:r>
      <w:r>
        <w:rPr>
          <w:b w:val="0"/>
        </w:rPr>
        <w:t>, från och med den 1 januari 1921 å allmänna indragningsstaten uppbära ett årligt understöd av 200 kronor.</w:t>
        <w:br/>
        <w:br/>
        <w:t>Jag yrkar bifall till detta förslag.</w:t>
      </w:r>
    </w:p>
    <w:p>
      <w:pPr>
        <w:pStyle w:val="Heading2"/>
      </w:pPr>
      <w:r>
        <w:t>2. Emil Kristensson (Socialdemokraterna, man)</w:t>
      </w:r>
    </w:p>
    <w:p>
      <w:r>
        <w:rPr>
          <w:b w:val="0"/>
        </w:rPr>
        <w:t>Herr talman! Jag hade egentligen väntat, att den ärade motionären, herr Leander, skulle begärt ordet först och yrkat bifall till sin motion. Som kammaren vet, har herr Leander vartenda år, så länge han varit riksdagsman, plockat fram några änkor från Karlskrona, och väckt motion om pension åt dem. Jag kan för min del icke finna annat än att det är synnerligen vac-</w:t>
        <w:br/>
        <w:br/>
        <w:t>. kert och behjärtansvärt. Och tack vare att herr Leander varje gång,</w:t>
        <w:br/>
        <w:br/>
        <w:t>då en sådan motion förelegat här i kammaren, vädjat till kammarens hjärta, har kammaren vanligen pläget följa honom. Men det med-</w:t>
        <w:br/>
        <w:br/>
        <w:t xml:space="preserve">för enligt mitt förmenande i alla fall. att vissa orättvisor begås. Om herrarna för en gångs skull ville läsa vad som står nederst på sidan 15, så skulle herrarna finna att, om vi i dag bevilja vad herr Leander föreslagit, så innehär det, att dessa änkor skulle få högre pension än änkorna efter de män, som under hela sitt liv inbetalt pensionsavgifter till pensionsanstalterna. Alltså. det förhållandet att deras män icke varit med och i likhet med alla andra statstjänare själva bidragit till sin </w:t>
      </w:r>
      <w:r>
        <w:rPr>
          <w:b/>
        </w:rPr>
        <w:t>änkepensionering²</w:t>
      </w:r>
      <w:r>
        <w:rPr>
          <w:b w:val="0"/>
        </w:rPr>
        <w:t xml:space="preserve"> — ty det är icke staten utan vederbörande tjänstemän själva, som bestrida utgifterna för </w:t>
      </w:r>
      <w:r>
        <w:rPr>
          <w:b/>
        </w:rPr>
        <w:t>änkepensioneringen²</w:t>
      </w:r>
      <w:r>
        <w:rPr>
          <w:b w:val="0"/>
        </w:rPr>
        <w:t xml:space="preserve"> — skulle medföra, att dessa skulle komma i en bättre ställning. Nu vill jag icke påstå, att de skulle komma i en särksilt gvynnad ställning, om motionen bifalles, men vad jag reagerar emot är, att här den ene motionären efter den andre plockar fram den ena </w:t>
      </w:r>
      <w:r>
        <w:rPr>
          <w:b/>
        </w:rPr>
        <w:t>änkan²</w:t>
      </w:r>
      <w:r>
        <w:rPr>
          <w:b w:val="0"/>
        </w:rPr>
        <w:t xml:space="preserve"> efter den andra och vill, att vi skola bevilja dem pension. Jag vill, att </w:t>
      </w:r>
      <w:r>
        <w:rPr>
          <w:b/>
        </w:rPr>
        <w:t>änkepensioneringen²</w:t>
      </w:r>
      <w:r>
        <w:rPr>
          <w:b w:val="0"/>
        </w:rPr>
        <w:t xml:space="preserve"> för flottans och marinens daglönare skall ordnas, men riksdagen bör ordna det i ett sammanhang. Riksdagen har också för något år sedan skrivit till Kungl. Maj:t om den saken, och jag förmodar det ligger under utarbetande hos Kungl. Maj:t. Och då skall man på en gång ordna det för alla och skipa rättvisa. Ty det blir verkligen icke någon rättvisa i detta förfarande därför att herr Leander är riksdagsman från Karlskrona och således känner en och annan </w:t>
      </w:r>
      <w:r>
        <w:rPr>
          <w:b/>
        </w:rPr>
        <w:t>änka²</w:t>
      </w:r>
      <w:r>
        <w:rPr>
          <w:b w:val="0"/>
        </w:rPr>
        <w:t xml:space="preserve"> där, deras sak särskilt blir dragen inför riksdagen. Riksdagen måste enligt mitt förmenande se på linjerna i stort och ordna det för alla kategorier på en gång. Om nu riksdagen</w:t>
        <w:br/>
        <w:br/>
        <w:t>bifaller detta — och riksdagen har redan 1919 fattat ett liknande:</w:t>
        <w:br/>
        <w:br/>
        <w:t xml:space="preserve">beslut — då kan jag icke förstå annat, än att vi få i bankoutskottet sluta med att hålla på några principer, utan då få vi lov att yrka bifall till vad varje motionär kan komma att framställa förslag om. Härom kvällen beslöt denna kammare att tillstyrka en motion, som var väckt av herr Wikström, däri motionären icke kunde styrka, att vederbörande varit anställd i statens tjänst. Då jag personligen talade med de personer i kammaren, som förordat denna motion, så svarade de: nej, men du kan inte bevisa, att han icke varit anställd i statens tjänst. Så långt har det nu sålunda gått. att det är bankoutskottet, som skall bevisa, att en person varit i statens tjänst, då det motioneras om pension åt hans </w:t>
      </w:r>
      <w:r>
        <w:rPr>
          <w:b/>
        </w:rPr>
        <w:t>änka²</w:t>
      </w:r>
      <w:r>
        <w:rPr>
          <w:b w:val="0"/>
        </w:rPr>
        <w:t xml:space="preserve">. Herrarna förstå, att så går det icke i längden att handla, utan det gäller att få fram några bärande riktlinjer. Och jag hoppas verkligen, att daglönarnas </w:t>
      </w:r>
      <w:r>
        <w:rPr>
          <w:b/>
        </w:rPr>
        <w:t>änkepensioner²</w:t>
      </w:r>
      <w:r>
        <w:rPr>
          <w:b w:val="0"/>
        </w:rPr>
        <w:t xml:space="preserve"> bli ordnade snarast möjligt. Jag vill erinra om, att riksdagen fattat beslut om pensionering för distriktsveterinärer. barnmorskor och andra kategorier. Och då denna fråga nu ligger under utredning, så få vi väl vänta tills denna allmänna utredning är färdig och se till, vilka belopp, som komma fram där, så att man icke godtyckligt bestämmer ett belopp här och ett där. Riksdagen beslöt, som herr Borggren erinrat om, härom året att lämna ett understöd av 300 kronor i ett liknande fall. Nu yrkar herr Borggren på 200 kronor. Varför denna olikhet? Det bör väl, som jag sade finnas några allmänna riktlinjer, som böra vara för riksdagen normgivande. Jag ber, herr talman, få yrka bifall till utskottets hemställan.</w:t>
      </w:r>
    </w:p>
    <w:p>
      <w:pPr>
        <w:pStyle w:val="Heading2"/>
      </w:pPr>
      <w:r>
        <w:t>3. Ulrik Leander (Frisinnade folkpartiet, man)</w:t>
      </w:r>
    </w:p>
    <w:p>
      <w:r>
        <w:rPr>
          <w:b w:val="0"/>
        </w:rPr>
        <w:t>Herr talman! Jag ber att få rätta ett misstag av herr Kristensson, i det jag vill erinra honom om, att jag varit med om att bevilja understöd åt änkor icke bara från Karlskrona, utan jag vill minnas, att jag även varit med om att bevilja pensioner åt änkor från Göteborg.</w:t>
        <w:br/>
        <w:br/>
        <w:t xml:space="preserve">Emellertid har, såsom framgår av betänkandet, direktionen över flottans pensionskassa blivit hörd över denna motion. Att denna myndighet liksom å ämbetets vägnar alltid avstyrker sådana understöd, som det här är fråga om, är allmänt känt. Men på samma gång de nu avstyrkt understöd för dessa båda änkor, har jag från samma håll privat blivit underrättad om, att här förelåg ganska starka skäl för bifall till motionerna. Under de 20 år, som Hammar var anställd som ritare i Karlskrona, sökte han gång på gång vinna delägarskap i flottans pensionskassa. Hade han fått denna önskan uppfylld, då hade han erlagt sina avgifter till kassan, och </w:t>
      </w:r>
      <w:r>
        <w:rPr>
          <w:b/>
        </w:rPr>
        <w:t>änkan²</w:t>
      </w:r>
      <w:r>
        <w:rPr>
          <w:b w:val="0"/>
        </w:rPr>
        <w:t xml:space="preserve"> och hans efterlevande gosse hade haft sin lagstadgade pension. Men det var icke möjligt för honom. Man ställde det i utsikt den ena gången efter den andra, men det blev icke av så länge han levde. Det måste väl ändå vara ganska hårt, att de efterlevande skola få sitta emellan, sedan husfadern gjort allt vad i hans förmåga stått för att ordna det för sina närmaste, oaktat detta icke lyckats på grund av de, jag kan säga oförnuftiga bestämmelser, som finnas, och på grund av byråkratism.</w:t>
        <w:br/>
        <w:br/>
        <w:t>Vad bankoutskottet beträffar, så hyser jag mycket stor respekt för den principfasthet, bankoutskottet lägger i dagen. Jag bara förvånar mig över principernas mångfald eller deras växling. Nu har utskottets ärade ordförande åberopat, vad som skedde härom kvällen. Ja, då stödde sig herr Kristensson på statskontoret och sade, om jag icke minns fel, att utskottet brukar följa statskontoret, emedan statskontoret är sakkunnigt på detta område. Men nu har utskottet i detta fall kastat den principen och följer i stället den principen att icke bry sig om statskontoret utan sätter sig över dess auktoritet. Statskontoret har, som man ser i betänkandet, förordat något understöd till makarnas minderårige gosse. Det går nu icke att yrka bifall här till denna statskontorets framställning, emedan det faller utom motionens ram. Men det är ju klart, att om modern får ett understöd, kommer det sedan att användas för gossens bästa. På grund därav vågar jag ännu en gång vädja till denna kammares varma hjärta och hemställa, att den måtte bifalla det av herr Borggren framställda yrkandet, till vilket jag nu ber att få hemiställa om bifall.</w:t>
      </w:r>
    </w:p>
    <w:p>
      <w:pPr>
        <w:pStyle w:val="Heading2"/>
      </w:pPr>
      <w:r>
        <w:t>4. Emil Kristensson (Socialdemokraterna, man)</w:t>
      </w:r>
    </w:p>
    <w:p>
      <w:r>
        <w:rPr>
          <w:b w:val="0"/>
        </w:rPr>
        <w:t>Jag ber att få protestera mot herr Leanders påstående, att det skulle ligga någon motsättning mellan mitt yttrande i dag och det yttrande jag hade här om dagen, när jag sade, att bankoutskottet brukat remittera dessa tvistiga motioner till statskontoret, som egentligen var den enda myndighet, som kunde hålla reda på denna fullständiga oreda, som blivit en följd av just detta, att riksdagen under senare år oupphörligt och oupphörligt frångått de principer, som varit gällande. Nu gäger herr Leander, att stats-</w:t>
        <w:br/>
        <w:br/>
        <w:t>kontoret här gjort framställning om ett understöd. Men stalskontoret säger också, att det tillfullo instämmer i vad direktionen över flottans pensionskassa sagt. Då emellertid riksdagen år efter år beslutat frångå principerna och beviljat pensioner än hit och än dit, så har statskontoret på senare tider kommit in på den bogen, att det i första delen av sitt yttrande håller på principerna och i andra delen av sitt yttrande säger, att dem följer i alla fall icke riksdagen, och därför kan man i det och det fallet tillgripa den och den utvägen. Herr talman! Jag vidhåller mitt yrkande.</w:t>
      </w:r>
    </w:p>
    <w:p>
      <w:pPr>
        <w:pStyle w:val="Heading2"/>
      </w:pPr>
      <w:r>
        <w:t>5. Ulrik Leander (Frisinnade folkpartiet, man)</w:t>
      </w:r>
    </w:p>
    <w:p>
      <w:r>
        <w:rPr>
          <w:b w:val="0"/>
        </w:rPr>
        <w:t xml:space="preserve">Herr talman! Jag tillåter mig framhålla, att någon fruktan för konsekvenserna av ett bifall till denna motion icke på minsta sätt bör förefinnas här, ty jag tror icke man skall kunna söka reda på ett enda fall, som är likvärdigt med detta. Den gamle underofficerskorpralen Gråberg ingick i flottans tjänst som skeppsgosse vid 13 års ålder. När han sedan blev karlskriven, blev det av myndigheterna bestämt — utan hans eget hörande, kan jag tänka — att han skulle bli sjukvårdare. Då var det alldeles omöjligt för honom att komma högre på rangskalan än till underofficerskorpral. Ty det fanns på den tiden den bestämmelsen, att en sjukvårdare icke kunde få bli underofficer. Hade han fått bli underofficer, hade han också fått delägarskap i flottans pensionskassa, och i så fall hade hans </w:t>
      </w:r>
      <w:r>
        <w:rPr>
          <w:b/>
        </w:rPr>
        <w:t>änka²</w:t>
      </w:r>
      <w:r>
        <w:rPr>
          <w:b w:val="0"/>
        </w:rPr>
        <w:t xml:space="preserve"> nu på sin ålderdom och i sin sjukdom haft sitt gratial. Men det var som sagt omöjligt för honom. Bestämmelserna lade hinder i vägen där. Nu är äntligen detta förbud för sjukvårdare att bli underofficer upphävt, men det skedde först någon</w:t>
        <w:br/>
        <w:br/>
        <w:t xml:space="preserve">månad efter det Gråberg gick ur tiden. Skall nu ändå hans gamla sjukliga </w:t>
      </w:r>
      <w:r>
        <w:rPr>
          <w:b/>
        </w:rPr>
        <w:t>änka²</w:t>
      </w:r>
      <w:r>
        <w:rPr>
          <w:b w:val="0"/>
        </w:rPr>
        <w:t xml:space="preserve"> nödgas anlita fattigvården Just därför att det fanns sådana bestämmelser den tid </w:t>
      </w:r>
      <w:r>
        <w:rPr>
          <w:b/>
        </w:rPr>
        <w:t>hennes²</w:t>
      </w:r>
      <w:r>
        <w:rPr>
          <w:b w:val="0"/>
        </w:rPr>
        <w:t xml:space="preserve"> man levde? Här kommer jag icke att giva mig, utan jag kommer att begära votering, så att jag: åtminstone har mitt samvete fredat för att Jag gjort vad jag kunnat, på det att </w:t>
      </w:r>
      <w:r>
        <w:rPr>
          <w:b/>
        </w:rPr>
        <w:t>änkan²</w:t>
      </w:r>
      <w:r>
        <w:rPr>
          <w:b w:val="0"/>
        </w:rPr>
        <w:t xml:space="preserve"> Gråberg, som nu är 70 år och befinner sig i prekära och svåra förhållanden, måtte få den lilla hjälp, jag här hemställt. om. Statskontoret har ju också här förordat ett understöd av 200: kronor, och jag skall nöja mig därmed. Jag hemställer alltså, att min motion bifalles med den ändring, att siffran 300 utbytes mot 200. Jag ber, herr talman, att få yrka bifall till detta förslag.</w:t>
      </w:r>
    </w:p>
    <w:p>
      <w:pPr>
        <w:pStyle w:val="Heading2"/>
      </w:pPr>
      <w:r>
        <w:t>6. Lars Borggren (Socialdemokraterna, man)</w:t>
      </w:r>
    </w:p>
    <w:p>
      <w:r>
        <w:rPr>
          <w:b w:val="0"/>
        </w:rPr>
        <w:t xml:space="preserve">Herr talman! Vid denna punkt har jag. avgivit en blank reservation, då jag icke kunnat följa utskottet i dess. avstyrkande av herr Leanders motion. Under den tid, jag suttit i bankoutskottet, har jag funnit, att pension beviljats åt änkor många gånger i riksdagen, vilka icke varit mer berättigade därtill än vad denna </w:t>
      </w:r>
      <w:r>
        <w:rPr>
          <w:b/>
        </w:rPr>
        <w:t>änka²</w:t>
      </w:r>
      <w:r>
        <w:rPr>
          <w:b w:val="0"/>
        </w:rPr>
        <w:t xml:space="preserve"> Gråberg kan anses vara. Och det till betydligt högre belopp än som här föreslagits. Nu har statskontoret sagt i sitt utlåtande, att dels på grund av den höga åldern och på grund av att </w:t>
      </w:r>
      <w:r>
        <w:rPr>
          <w:b/>
        </w:rPr>
        <w:t>änkan²</w:t>
      </w:r>
      <w:r>
        <w:rPr>
          <w:b w:val="0"/>
        </w:rPr>
        <w:t xml:space="preserve"> är medellös och dels på grund av att </w:t>
      </w:r>
      <w:r>
        <w:rPr>
          <w:b/>
        </w:rPr>
        <w:t>hon²</w:t>
      </w:r>
      <w:r>
        <w:rPr>
          <w:b w:val="0"/>
        </w:rPr>
        <w:t xml:space="preserve"> är sjuk och icke genom eget arbete kan försörja sig, och även på grund av mannens synnerligen långa statstjänst, så anser statskontoret det berättigat, att denna </w:t>
      </w:r>
      <w:r>
        <w:rPr>
          <w:b/>
        </w:rPr>
        <w:t>änka²</w:t>
      </w:r>
      <w:r>
        <w:rPr>
          <w:b w:val="0"/>
        </w:rPr>
        <w:t xml:space="preserve"> erhåller ett understöd av 200 kronor. Och på dessa 200 kronor får </w:t>
      </w:r>
      <w:r>
        <w:rPr>
          <w:b/>
        </w:rPr>
        <w:t>hon²</w:t>
      </w:r>
      <w:r>
        <w:rPr>
          <w:b w:val="0"/>
        </w:rPr>
        <w:t xml:space="preserve"> ju också dyrtidstillägg. Jag kan icke finna: annat, än att denna </w:t>
      </w:r>
      <w:r>
        <w:rPr>
          <w:b/>
        </w:rPr>
        <w:t>änka²</w:t>
      </w:r>
      <w:r>
        <w:rPr>
          <w:b w:val="0"/>
        </w:rPr>
        <w:t xml:space="preserve"> är lika berättigad till understöd som åtskilliga andra änkor, vilka riksdagen beviljat understöd och det till, som jag yttrade, betydligt större belopp.</w:t>
        <w:br/>
        <w:br/>
        <w:t>Jag tillåter mig därför, herr talman, att yrka bifall till det av herr Leander framställda yrkandet.</w:t>
      </w:r>
    </w:p>
    <w:p>
      <w:pPr>
        <w:pStyle w:val="Heading2"/>
      </w:pPr>
      <w:r>
        <w:t>7. Emil Kristensson (Socialdemokraterna, man)</w:t>
      </w:r>
    </w:p>
    <w:p>
      <w:r>
        <w:rPr>
          <w:b w:val="0"/>
        </w:rPr>
        <w:t>Herr talman! Jag ber att få fästa kammarens uppmärksamhet på att vad Jag sade i principiellt avseende beträffande den förra motionen gäller precis i lika grad beträffande denna. Direktionen över flottans pensionskassa har också behandlat ifrågavarande änkor i samma betänkande och sagt precis detsamma om båda. Om andra kammaren i dag skall följa några principer, den alltså icke handla annorlunda i detta fall än i det förra fallet.</w:t>
        <w:br/>
        <w:br/>
        <w:t xml:space="preserve">Nu skulle jag vilja giva den ärade motionären ett råd, om han ville taga det ad notam, och det är att komma nästa år till riksdagen med en motion om att alla dessa änkors pensionsförhållanden bliva ordnade. Det skall jag taga under allvarligt övervägande, och, om jag sitter kvar i riksdagen och utskottet då, hoppas jag kunna bifalla det. Men att plocka fram ett fall här och ett fall där, det är det som verkar orättvist i längden. Nu anslog herr Leander än en gång på känslorna här. Men vi få väl ändå lov att skilja på de kategorier, som hava ordnade </w:t>
      </w:r>
      <w:r>
        <w:rPr>
          <w:b/>
        </w:rPr>
        <w:t>änkepensionsförhållanden²</w:t>
      </w:r>
      <w:r>
        <w:rPr>
          <w:b w:val="0"/>
        </w:rPr>
        <w:t>. och de andra, som icke hava det. För de senare har riksdagen sörjt på annat sätt genom</w:t>
        <w:br/>
        <w:br/>
        <w:t>den allmänna folkpensioneringen. Jag vill hoppas, att kammaren, då det där gäller att höja beloppen, verkligen måtte behjärta de synpunkter, herr Leander framställt. Då blir det rättvist, ty det drabbar lika över hela landet. Men att godtyckligt bestämma i kammaren efter tillfälliga stämningar har jag flera gånger reagerat emot. Det är icke rättvist, och det tillkommer icke riksdagen att besluta i känslostämningar, ty den måste följa vissa allmänna linjer. Jag ber att få yrka bifall till utskottets hemställan.</w:t>
      </w:r>
    </w:p>
    <w:p>
      <w:pPr>
        <w:pStyle w:val="Heading2"/>
      </w:pPr>
      <w:r>
        <w:t>8. Ulrik Leander (Frisinnade folkpartiet, man)</w:t>
      </w:r>
    </w:p>
    <w:p>
      <w:r>
        <w:rPr>
          <w:b w:val="0"/>
        </w:rPr>
        <w:t>Herr talman! Jag ber att få erinra bankoutskottets ärade ordförande om, att jag 1918 motionerade just om det han nu uppmanar mig att göra, nämligen om utredning rörande pensionering av daglönares änkor, men då var herr Kristensson med om att avstyrka denna motion. Det är ju bra, att han härutinnan har bättrat sig, så att han nu kommer att tillstyrka en sådan motion.</w:t>
        <w:br/>
        <w:br/>
        <w:t xml:space="preserve">Sedan ber jag få framhålla, att detta är ett alldeles exceptionellt fall, ty numera kan en sjukvårdare bli underofficer, och därmed har också hans </w:t>
      </w:r>
      <w:r>
        <w:rPr>
          <w:b/>
        </w:rPr>
        <w:t>änka²</w:t>
      </w:r>
      <w:r>
        <w:rPr>
          <w:b w:val="0"/>
        </w:rPr>
        <w:t xml:space="preserve"> möjlighet att få det gratial, som stadgeenligt tillkommer underofficersänkor. Men Gråberg kunde icke bli det i livstiden, och jag tror icke det finns en enda person mer vid flottan, som befinner sig i samma belägenhet. Det kan därför icke bli några farliga konsekvenser här, utan om </w:t>
      </w:r>
      <w:r>
        <w:rPr>
          <w:b/>
        </w:rPr>
        <w:t>änkan²</w:t>
      </w:r>
      <w:r>
        <w:rPr>
          <w:b w:val="0"/>
        </w:rPr>
        <w:t xml:space="preserve"> Gråberg får dessa 200 kronor i understöd, behöver man icke befara, att man skall kunna åberopa detta fall för att komma med framställning om pension framdeles. Jag ber alltså att på det varmaste få vädja till kammaren att bifalla mitt yrkande om 200 kronors understöd åt </w:t>
      </w:r>
      <w:r>
        <w:rPr>
          <w:b/>
        </w:rPr>
        <w:t>änkan²</w:t>
      </w:r>
      <w:r>
        <w:rPr>
          <w:b w:val="0"/>
        </w:rPr>
        <w:t xml:space="preserve"> Gråberg.</w:t>
      </w:r>
    </w:p>
    <w:p>
      <w:pPr>
        <w:pStyle w:val="Heading2"/>
      </w:pPr>
      <w:r>
        <w:t>9. Lars Borggren (Socialdemokraterna, man)</w:t>
      </w:r>
    </w:p>
    <w:p>
      <w:r>
        <w:rPr>
          <w:b w:val="0"/>
        </w:rPr>
        <w:t xml:space="preserve">Det förefaller mig märkvärdigt, att man här säger, att man icke kan bevilja pension åt denna </w:t>
      </w:r>
      <w:r>
        <w:rPr>
          <w:b/>
        </w:rPr>
        <w:t>änka²</w:t>
      </w:r>
      <w:r>
        <w:rPr>
          <w:b w:val="0"/>
        </w:rPr>
        <w:t xml:space="preserve">, på grund av att det icke finnes några” principer att gå efter. och att riksdagen icke bör göra någonting, som den icke gjort vid föregående tillfällen. Jag vill då erinra om, att bankoutskottet inkom till riksdagen med ett utlåtande rörande pension åt </w:t>
      </w:r>
      <w:r>
        <w:rPr>
          <w:b/>
        </w:rPr>
        <w:t>änkan²</w:t>
      </w:r>
      <w:r>
        <w:rPr>
          <w:b w:val="0"/>
        </w:rPr>
        <w:t xml:space="preserve"> efter flygaren Thulin i TLandskrona. Motionen var enhälligt avstyrkt av bankoutskottet, men trots detta biföll andra kammaren densamma. Det utlåtande, som statskontoret då hade avgivit, vill jag erinra mig var lagt precis på samma sätt som dess yttrande här. </w:t>
      </w:r>
      <w:r>
        <w:rPr>
          <w:b/>
        </w:rPr>
        <w:t>Änkan²</w:t>
      </w:r>
      <w:r>
        <w:rPr>
          <w:b w:val="0"/>
        </w:rPr>
        <w:t xml:space="preserve"> var medellös och verkligen i behov av något litet understöd. Nu undrar jag, om man jämför dessa tvenne änkor — och den andra fick dock betydligt högre belopp än som här begäres — om icke den person, det nu gäller, gjort lika mycket i statens tjänst som flygaren Thulin.</w:t>
        <w:br/>
        <w:br/>
        <w:t>Jag anser, att man icke bör avslå den här gjorda begäran.</w:t>
        <w:br/>
        <w:br/>
        <w:t>Jag vidhåller mitt yrkande.</w:t>
      </w:r>
    </w:p>
    <w:p>
      <w:pPr>
        <w:pStyle w:val="Heading2"/>
      </w:pPr>
      <w:r>
        <w:t>10. unknown (–, –)</w:t>
      </w:r>
    </w:p>
    <w:p>
      <w:r>
        <w:rPr>
          <w:b w:val="0"/>
        </w:rPr>
        <w:t>Herr talman! Jag kan icke underlåta att uttala en uppfattning, som mer än en torde hysa här i kammaren beträffande alla dessa små pensionsärenden, som komma från bankoutskottet och som ofta härflyta ur enskilda motioner — det är många, som nästan sporta i att väcka sådana motioner som dessa — och det är</w:t>
        <w:br/>
        <w:br/>
        <w:t>den, att vi nu förlorat all översikt över de principer, man bör följa vid behandlingen av dessa ärenden. Förr i världen höll riksdagen på vissa ledande principer vid bedömandet av alla dessa frågor. Nu kommer här in ett betänkande då och ett betänkande då, som rör några sådana här små pensionsfrågor, som äro i viss mån likartade med andra, under det att de äro skiljaktiga från varandra i andra avseenden. Genom att det kommer in motioner så här strövis med olika yrkanden och dessa få varma talesmän här, så går det än si och än så, och följaktligen ha vi kommit till fullkomligt kaos, fullkomlig principlöshet vid behandlingen av pensionsfrågorna. Detta är beklagligt. Vi behöva få ordning och reda i detta, och jag skulle vilja hemställa till bankoutskottet, om det icke till kommande tider ville göra riksdagen den tjänsten att låta dessa frågor behandlas tillsammans, så att man får en viss översikt och så att man ser, vad det är för ledande grundsatser man skall följa i dessa frågor.</w:t>
        <w:br/>
        <w:br/>
        <w:t>Det är klart, att jag och många med mig i kammaren ömma för enskilda fall. Men å andra sidan, då man är en fullvuxen människa, får man använda även förståndet, och då skall det vara någon ledande tanke i det hela och en ordnande hand för att använda Lindhagens uttryck. Jag har i mitt minne ett gammalt exempel, huru herr Leander lyckades få igenom en motion, som förföljde oss en massa år och som förorsakade oss en massa arbete i statsutskottet. Det gällde en löneturfråga, och vi hade i anledning av den motionen mycket arbete för att kunna få riktiga principer bragta till stånd på det området.</w:t>
        <w:br/>
        <w:br/>
        <w:t>Jag förstår ju de varma och goda motiv, som finnas för dessa mänga småmotioner, men jag skulle vilja uttala en varning mot, att man här beslutar nästan på en sinkadus i de olika frågorna. Det är klart, att jag för min del kommer att följa utskottet i denna votering, men jag skulle vilja uttala en vädjan till bankoutskottets ordförande och ledamöter, om de icke skulle vilja föra tillsammans dessa olika växlande ärenden och behandla dem efter enhetliga principer, så att det icke går alldeles hur som helst, ibland si och ibland så.</w:t>
        <w:br/>
        <w:br/>
        <w:t>1 Herr talman! Jag ber att få yrka bifall till utskottets hemstälan.</w:t>
      </w:r>
    </w:p>
    <w:p>
      <w:pPr>
        <w:pStyle w:val="Heading2"/>
      </w:pPr>
      <w:r>
        <w:t>11. Carl Carlsson (Folkpartiet, man)</w:t>
      </w:r>
    </w:p>
    <w:p>
      <w:r>
        <w:rPr>
          <w:b w:val="0"/>
        </w:rPr>
        <w:t>Herr talman, mina herrar! Då bankoutskottet vid behandlingen av de ifrågavarande motionerna endast tagit hänsyn till den tid, under vilken byggnadsförmannen Thorsson varit anställd vid statens järnvägsbyggnader, förvånar det mig icke, att utskottsutlåtandet utmynnat i hemställan om avslag på motionen.</w:t>
        <w:br/>
        <w:br/>
        <w:t>Motionärerna hava sett saken från en annan synpunkt. Förhållandet är nämligen det, att byggnadsförmannen Thorsson i icke mindre än 40 år varit anställd vid kungl. vägoch vattenbyggnadskåren dels såsom byggnadsförman och dels i början också såsom arbetare. Där har han enligt uppgift av vederbörande arbetsbefäl nedlagt ett mycket förtjänstfullt arbete. Jag tillåter mig citera ett uttalande, som gjordes av nuvarande chefen för vederbörande vägoch vattenbyggnadsdistrikt, överstelöjtnant Prinzencreutz. Han yttrar: denne man har under sin 40-åriga anställning vid vägoch vattenbyggnadskåren utfört ett arbete, som är värt allt beröm. Nu är byggnadsförmannen Thorssons arbetskraft förbrukad. Han är nu vid fyllda 79 år i den belägenheten, att, om han icke kan erhålla något understöd från statens sida, han ovillkorligen måste vända sig till den allmänna fattigvården för att erhålla understöd för sina återstående dagar. Man måste enligt mitt förmenande anse, att det är en mycket dålig behandling för en sådan statens trotjänare, låt vara — jag giver bankoutskottet formellt rätt däri — att han kanske icke direkt kan betraktas vara statsanställd. Men vid vägoch vattenbyggnadskåren är ju förhållandet det, att staten lämnar anslag till minst ?/; av kostnaderna för samtliga anläggningar. Under sådana förhållanden måste man göra sig den frågan: till vilken skall en sådan arbetare vända sig, när hans arbetskraft icke längre räcker till, och när han blir i behov av understöd. Han kan icke vända sig till någon kommun, icke till någon enskild, utan 1 detta fall blir det åtminstone rent moraliskt sett staten, som borde lämna ett litet understöd till dessa gamla utslitna arbetare. Jag är övertygad, att om en enskild arbetsgivare haft en förman, som tjänat så troget under 40 år, skulle han ansett sig pliktig att underhålla honom, så länge han levde, och för en kommunalt anställd gäller ju detta i än högre grad. Det är fullständigt uteslutet att en sådan skulle bli hänvisad till den allmänna fattigvården.</w:t>
        <w:br/>
        <w:br/>
        <w:t>Här har i dag vid behandlingen av pensionsfrågor talats om, att man icke borde vädja till känsloskäl. Jag skall icke göra det,</w:t>
        <w:br/>
        <w:br/>
        <w:t>Ang. pension herr talman, i vidare mån än att vädja till herrarnas rättfärdighets-</w:t>
        <w:br/>
        <w:br/>
        <w:t>känsla. Ty jag anser verkligen, att, när det föreligger bevis för att en man arbetat i 40 år troget och träget med ganska vittomfattande arbeten och tjänstgjort som arbetsförman, då bör han också vid fyllda 79 år hava gjort sig förtjänt av ett litet understöd. I detta fall är det begärt 500 kronor för år.</w:t>
        <w:br/>
        <w:br/>
        <w:t xml:space="preserve">Jag erinrar mig sista gången, jag talade med Thorsson. På min fråga: Hur går det för Eder? svarade han: Mycket dåligt; jag är 79 år och min </w:t>
      </w:r>
      <w:r>
        <w:rPr>
          <w:b/>
        </w:rPr>
        <w:t>hustru²</w:t>
      </w:r>
      <w:r>
        <w:rPr>
          <w:b w:val="0"/>
        </w:rPr>
        <w:t xml:space="preserve"> 71; </w:t>
      </w:r>
      <w:r>
        <w:rPr>
          <w:b/>
        </w:rPr>
        <w:t>hon²</w:t>
      </w:r>
      <w:r>
        <w:rPr>
          <w:b w:val="0"/>
        </w:rPr>
        <w:t xml:space="preserve"> är blind och har varit sängliggande sedan 12 år; jag har försökt att ända in i det sista försörja mig, och det har gått någorlunda för oss, men på sista tiden har det blivit skralt; en del av bohaget har jag måst avyttra. Jag frågade också, var han hade medaljen, som han erhöll av Patriotiska sällskapet 1899. Svaret blev: Jag hade aldrig tänkt mig behöva uppleva den dag, då jag skulle nödgas avhända mig den, men 1919 under kris- I måste även den säljas för att erhålla något till vårt livsuppe-</w:t>
        <w:br/>
        <w:br/>
        <w:t>Denna kammare har förut vid många tillfällen beaktat dylika framställningar, och jag vill även i detta fall vädja till herrarna att taga hänsyn till denna begäran, vilken Jag är övertygad om är fullständigt berättigad.</w:t>
        <w:br/>
        <w:br/>
        <w:t>Herr talman! Jag ber att få yrka bifall till min motion.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1518</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