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1558</w:t>
      </w:r>
    </w:p>
    <w:p>
      <w:r>
        <w:rPr>
          <w:b/>
        </w:rPr>
        <w:t xml:space="preserve">Datum: </w:t>
      </w:r>
      <w:r>
        <w:t>1922-03-31</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Helge Bäcklund (Socialdemokraterna, man)</w:t>
      </w:r>
    </w:p>
    <w:p>
      <w:r>
        <w:rPr>
          <w:b w:val="0"/>
        </w:rPr>
        <w:t xml:space="preserve">Herr talman! Det är alldeles riktigt, som ordföranden i bankoutskottet säger, att de här pensionerna icke äro </w:t>
      </w:r>
      <w:r>
        <w:rPr>
          <w:b/>
        </w:rPr>
        <w:t>änkepensioner²</w:t>
      </w:r>
      <w:r>
        <w:rPr>
          <w:b w:val="0"/>
        </w:rPr>
        <w:t xml:space="preserve"> i vanlig mening. Det visas av handlingarna, och motionären har också framhållit det. Hade det gällt vanliga </w:t>
      </w:r>
      <w:r>
        <w:rPr>
          <w:b/>
        </w:rPr>
        <w:t>änkepensioner²</w:t>
      </w:r>
      <w:r>
        <w:rPr>
          <w:b w:val="0"/>
        </w:rPr>
        <w:t xml:space="preserve">, skulle en </w:t>
      </w:r>
      <w:r>
        <w:rPr>
          <w:b/>
        </w:rPr>
        <w:t>änka²</w:t>
      </w:r>
      <w:r>
        <w:rPr>
          <w:b w:val="0"/>
        </w:rPr>
        <w:t xml:space="preserve"> fått sin pension redan 1913, en annan 1918, en tredje 1919 o. s. v. Man har icke begärt understöd förrän behov förelegat, och de här ifrågavarande änkorna befinna sig nu i</w:t>
        <w:br/>
        <w:br/>
        <w:t>sådana omständigheter, att de icke kunna försörja sig själva. Som motionären påpekar, är den äldsta född 1844 och den yngsta 1857. Det gäller sålunda personer som man kan vänta ganska snart skola gå bort, och deras pensionering kommer icke att vidare betunga statskassan. För övrigt äro ju pensionerna synnerligen små, de uppgå endast till 300 kr.</w:t>
        <w:br/>
        <w:br/>
        <w:t xml:space="preserve">Utskottets ordförande gjorde en jämförelse, och det har även utskottet gjort, mellan de pensioner, som här äro ifrågasatta, och dem, som en gång 1 tiden beviljades till änkor efter arbetare vid Carl Gustafs stads gevärsfaktori. Och så sade ordföranden, vilket jag tycker var ganska olyckligt, att dessa arbetare voro särskilt kvalificerat folk. Vad är det då för skillnad mellan faktoriarbetarna och arbetarna vid Karlsborg? Jag ber att få tala om, att det nu föreligger en proposition, nr 208, om pension till två änkor efter arbetare vid faktoriet, och jag är övertygad om, att den går igenom, eftersom den blivit tillstyrkt av statskontoret och övriga myndigheter, som haft att yttra sig häröver. Det gäller där änkor efter vanliga arbetare. Men därför att det är Kungl. Maj:t, som gör denna framställning, kommer antagligen utskottet att tillstyrka den. Varför skall man då ställa sig så absolut avvisande mot en motionär, som har precis lika starka reella skäl att anföra för sin sak? Det var herr Bärg i Katrineholm, som motionerade om pension åt faktoriarbetarnas änkor, och hans motion gick igenom. Detta åberopas nu av departementschefen som stöd för propositionen. Om det skall vara någon skillnad på kvalifikationerna hos arbetare vid gevärsfaktoriet och vid Karlsborgs fästning, så är den åtminstone icke till nackdel för de senare. En av dem var kakelugnsmakare, en timmerman, en skogvaktare och två fortifikationsarbetare. Jag förstår inte, vad det har att betyda, när man skall tillmäta 300 kr. i pension åt en </w:t>
      </w:r>
      <w:r>
        <w:rPr>
          <w:b/>
        </w:rPr>
        <w:t>änka²</w:t>
      </w:r>
      <w:r>
        <w:rPr>
          <w:b w:val="0"/>
        </w:rPr>
        <w:t>, om mannen varit mer eller mindre kvalificerad 1 ett visst yrke, utan det är väl blott behovsprincipen det gäller. Så talas det också om, att man bör följa enhetliga linjer på det här området. Ja, men det är omöjligt att göra det i varje enstaka fall, vare sig det gäller folk på Karlsborg eller vid gevärsfaktoriet eller på andra ställen. Man kan inte få så enhetliga bestämmelser, att de täcka allting, utan man måste i de olika fallen låta billighetsskälen vara avgörande. Det går icke att reglera allt i stort, även om man använder det slagordet, när man vill sätta sig emot en sak.</w:t>
        <w:br/>
        <w:br/>
        <w:t>Herr talman! Här gäller det fem stycken änkor och en utgift å 1,500 kronor om året. Jag tycker sålunda, att det vore inte så värst farligt, om riksdagen går in för detta. Konsekvenserna äro icke så värst stora. Dessa personer äro ju så gamla, att de gå snart nog undan, och då komma icke längre några pensioner att till dem behöva utbetalas.</w:t>
        <w:br/>
        <w:br/>
        <w:t>Jag ber, herr talman, att på dessa grunder få yrka bifall till den av herr Borggren m. fl. avgivna reservationen.</w:t>
      </w:r>
    </w:p>
    <w:p>
      <w:pPr>
        <w:pStyle w:val="Heading2"/>
      </w:pPr>
      <w:r>
        <w:t>2. Bernhard Nilsson (Första kammarens nationella parti, man)</w:t>
      </w:r>
    </w:p>
    <w:p>
      <w:r>
        <w:rPr>
          <w:b w:val="0"/>
        </w:rPr>
        <w:t>Herr talman! Jag vill bara nämna, att kommunikationsverkens lönekommitté håller på att ut-</w:t>
        <w:br/>
        <w:br/>
        <w:t xml:space="preserve">arbeta löneförslag till pensionsbestämmelser för extra ordinarie per- Ang. pension sonal och arbetare vid kommunikationsverken, och sedan kommer a fem, änbor kommittén framdeles alldeles otvivelaktigt att taga upp frågan även fn tjänst vid om </w:t>
      </w:r>
      <w:r>
        <w:rPr>
          <w:b/>
        </w:rPr>
        <w:t>änkepensioneringen²</w:t>
      </w:r>
      <w:r>
        <w:rPr>
          <w:b w:val="0"/>
        </w:rPr>
        <w:t>, och det är då givet, att också denna fråga Karlsborg ankommer att få sin grundläggande lösning, om riksdagen går med på ställda män. det förslag, som kommer fram. Beträffande pensioneringen för de (Forts. manliga extra arbetarna kommer förslag sannolikt fram till nästa års riksdag. Nu säger herr Bäcklund, att det icke är möjligt att lösa denna</w:t>
        <w:br/>
        <w:br/>
        <w:t>fråga efter enhetliga grunder, utan det måste ske efter prövning i varje särskilt fall. Jag är tvärtom alldeles förvissad om, att skall en lösning ske, måste den ske efter enhetliga grunder, och då tror jag icke det är lämpligt, att riksdagen nu, när man håller på med en utredning av dylika spörsmål, fattar beslut i ett fall som detta och ger sig in på nya områden, innan dessa enhetliga grunder äro tillskapade.</w:t>
        <w:br/>
        <w:br/>
        <w:t>4 Herr talman! 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1558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