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1576</w:t>
      </w:r>
    </w:p>
    <w:p>
      <w:r>
        <w:rPr>
          <w:b/>
        </w:rPr>
        <w:t xml:space="preserve">Datum: </w:t>
      </w:r>
      <w:r>
        <w:t>1922-05-14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Petrus Olsson (Socialdemokraterna, man)</w:t>
      </w:r>
    </w:p>
    <w:p>
      <w:r>
        <w:rPr>
          <w:b w:val="0"/>
        </w:rPr>
        <w:t>Jag erkänner, att jag var nyfiken att höra, hur herr Nilsson i Landeryd skulle bemöta de anmärkningar, som framställts i motionerna. Jag syftar närmast på den punkten i såväl löneregleringskommitténs förslag som statsutskottets utlåtande, där man avför en del på ordinarie stat upptagen personal</w:t>
        <w:br/>
        <w:br/>
        <w:t xml:space="preserve">från ordinarie anställning. Om detta sade herr Nilsson i Landeryd, såvitt jag kunde finna, ingenting annat än att det berodde på att man genomfört en sådan anordning vid fångvården. Han tillfogade visserligen, att för viss ekonomipersonal skulle det vara ett behov av ombyte, men det gällde närmast den </w:t>
      </w:r>
      <w:r>
        <w:rPr>
          <w:b/>
        </w:rPr>
        <w:t>kvinnliga¹</w:t>
      </w:r>
      <w:r>
        <w:rPr>
          <w:b w:val="0"/>
        </w:rPr>
        <w:t xml:space="preserve"> personalen, d. v. s. alltså kökspersonalen. Nu tillåter jag mig fråga: är det tillräcklig grund att avföra vissa personalgrupper från ordinarie anställning, därför att man gjort det förut vid ett annat verk? Finnes det icke något annat skäl än detta, då förefaller det, som om man haft en mycket mager motivering. För mig har det alltid framstått så, att ordinarie anställning förutsätter en varaktig syssla med stadigt och jämnt arbete, men här blir man frestad tro, att ovannämnda sysslor icke anses böra upptagas på ordinarie stat, därför att de äro för »obetydliga». Man har nämligen icke velat avföra exempelvis någon läkare från ordinarie stat, utan man har klippt av nere på den lägsta graden, såvitt jag kan finna. Det är kanske detta mindre sympatiska drag, som gjort, att vissa talare uppträtt i denna debatt trots att de ej äro i tillfälle att göra något yrkande, vilket herr Anderson i Råstock gjort anmärkning mot. Men jag ber honom förstå, att det kan vara fall, där man icke är färdig att stillatigande åse en dylik utveckling.</w:t>
        <w:br/>
        <w:br/>
        <w:t>Vidare skulle jag vilja peka på det i herr Hages m. fl. motion resta yrkandet om sammanförande till en grupp av skötarpersonalen, alltså som förhållandena voro före 1918. Det har där påvisats, att under hela den tid, det endast förekommit en skötargrupp, detta icke lett till några svårigheter. Det gick mycket bra, såvitt jag kan finna. Nu är förhållandet det, att bland personalens överväldigande flertal är det en önskan om att få bort denna överskötarbefattning, som man så att säga trugat på dem, och i stället återfå det ansvarsarvode, som förut utgick till den personal, vilken har ansvar för förråd och dylikt. Det är kanske detta senare krav, som gjort, att jag för min del anslutit mig fullt och helt till den motion, som lagts fram av herr Hage m. fl. Jag har nämligen ett behov att reagera mot den alltför tilltagande beredvilligheten att skapa förmansbefattningar inom statens verk. Det förekommer icke blott här, utan det är en tendens på alla områden. Det växer fram förmansbefattningar precis som svampar, den ena efter den andra, utan att man kan förstå, vad de skola tjäna till. Det är ju uppenbart, att ett dylikt system icke kan leda till något annat än att fördyra statens förvaltning, och givetvis bereder det svårigheter för den lägre personalen att få tillfredsställande betalt för sitt arbete.</w:t>
        <w:br/>
        <w:br/>
        <w:t>Jag har, såsom förut välvilligt påpekats av herr Anderson i Råstock, ingen möjlighet att göra något yrkande, men jag har i alla fall icke velat underlåta att anföra dessa synpunkter.</w:t>
      </w:r>
    </w:p>
    <w:p>
      <w:pPr>
        <w:pStyle w:val="Heading2"/>
      </w:pPr>
      <w:r>
        <w:t>2. Lars Johan Carlsson Frosterud (Socialdemokraterna, man)</w:t>
      </w:r>
    </w:p>
    <w:p>
      <w:r>
        <w:rPr>
          <w:b w:val="0"/>
        </w:rPr>
        <w:t>Jag vill endast yttra ett par ord med anledning av det till synes enhälliga statsutskottsutlåtande, som här föreligger. Denna enhällighet har beklagats av motionärerna, herrar Karlsson i Vadstena och Hage. För min personliga del</w:t>
        <w:br/>
        <w:br/>
        <w:t xml:space="preserve">vill jag lämna dessa motionärer den upplysningen, att jag inom statsutskottets tredje avdelning och i statsutskottets plenum upptagit ett par av deras förslag, som jag funnit mycket väl befogade. Ett yrkande, som jag framställde, rörde sig om skötarpersonalens löneplacering. Jag yrkade inom utskottet först, att ekötarna borde uppflyttas i tredje lönegraden. Jag har i likhet med motionärerna ansett, att denna personal med hänsyn till arten av dess verksamhet blivit orättvist bedömd och på grund därav för lågt placerad på löneskalan. Det andra yrkandet, som jag framställde, var om bifall till den av motionärerna föreslagna lägre pensionsåldern, som jag också funnit synnerligen väl motiverad, så mycket mera som det icke är någon frihandskonstruktion, utan detta yrkande framförts från medicinalstyrelsen med all styrka och likaså från de flesta hospitalsläkare, som yttrat sig i denna sak. Dessa medicinska sakkunniga på detta område ha fastslagit, att när denna skötarpersonal kommer upp till 35 levnadsår, vad det gäller manliga, och 53 levnadsår i fråga om </w:t>
      </w:r>
      <w:r>
        <w:rPr>
          <w:b/>
        </w:rPr>
        <w:t>kvinnliga¹</w:t>
      </w:r>
      <w:r>
        <w:rPr>
          <w:b w:val="0"/>
        </w:rPr>
        <w:t xml:space="preserve">, är deras fysiska energi så grundligt förbrukad, att de äro oförmögna att längre nöjaktigt sköta sina befattningar och ävenså är det en omöjlighet att bereda dem en lämpligare sysselsättning på de lugna avdelningarna, på grund av att vården där numera handhaves av </w:t>
      </w:r>
      <w:r>
        <w:rPr>
          <w:b/>
        </w:rPr>
        <w:t>kvinnlig¹</w:t>
      </w:r>
      <w:r>
        <w:rPr>
          <w:b w:val="0"/>
        </w:rPr>
        <w:t xml:space="preserve"> personal. Man har nu sålunda i detta fall ett synnerligen gott och auktoritativt stöd bakom sig. Men jag fann inom utskottet, att det icke var möjligt att röna den minsta förståelse för dessa yrkanden, utan jag hade 23 manhaftiga ledamöter av utskottet emot mig, och då kanske herrar motionärer torde ursäkta mig, att jag fann det tämligen lönlöst att gå fram med min personliga reservation om bifall till vad jag yrkat i utskottet. Jag tror icke, att jag tillsammans med motionärerna här skulle kunnat lyckas få kammaren att gå med på vårt yrkande. Detta är anledningen till att utskottsutlåtandet i de nämnda avseendena är enhälligt.</w:t>
        <w:br/>
        <w:br/>
        <w:t>När jag har ordet, skall jag endast be att få säga ett par ord med anledning av den reservation, som förefinnes på en punkt, nämligen rörande överläkarnas avlöning. Herr Rydén fällde i sitt sista anförande det yttrandet, att han beklagade, att man indrog i denna lönefråga de naturaförmåner, som dessa läkare komma i åtnjutande av. Det verkar förvirrande. Det är alldeles klart, att det verkar något förvirrande på de riktlinjer, som herr Rydén lagt på denna fråga, då han önskar, att man skall bortse från dessa naturaförmåner. Jag för min del har icke kunnat se denna sak på annat sätt, än att om man nu skall bestämma lönerna för dessa statstjänster, då måste man försöka se till att de ställas i samma lönegrad som andra statsbefattningar, som kunna anses vara något motsvarande, och då man icke tillerkänner dessa sådana naturaförmåner, som läkarna nu komma i åtnjutande av, så kommer man ju strax in på det verkligt reala förhållandet, att om man vill värdera denna bostadsförmån, som de åtnjuta in natura plus bränsle och lyse, och sätter ett mycket lågt pris på dessa förmåner, så komma dock dessa överläkare i inkomsthänseende vida över tjugonde lönegraden och således över medicinalråd, som icke åtnjuta några naturaförmåner. Sålunda,</w:t>
        <w:br/>
        <w:br/>
        <w:t>om man vill se denna fråga som den faktiskt föreligger, så måste man ju erkänna, att den löneplacering, som dessa läkare fått, är synnerligen tillfredsställande. Men självfallet är, att då man, såsom herr Anderson i Råstock nyss påpekade, vill gå utom statens verk och söka jämförelsepunkter, så kan man komma, vart man vill. Om icke läkarna själva önska söka sig statstjänst under denna form, då kan man givetvis icke tvinga dem men icke heller locka dem med att placera dem en eller annan lönegrad högre, alldenstund någon jämförelse mellan löneförmånerna i denna statstjänst och den inkomst, som läkarna i privat praktik kunna erhålla, icke är möjlig. Följaktligen tror jag, att den reservation, som föreligger, icke har något fog för sig. Så mycket mindre kan jag ur min synpunkt biträda den, som dessa herrar reservanters intresse riktat sig emot dem, som äro placerade i 18:e och 19:e lönegraden, då jag för min del icke kunnat få det ringaste stöd för mitt yrkande om en välmotiverad förbättring för personal i andra lönegraden.</w:t>
        <w:br/>
        <w:br/>
        <w:t>Herr talman! Jag yrkar bifall till utskottets förslag och avslag på reservationen i fråga om överläkarna.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