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471</w:t>
      </w:r>
    </w:p>
    <w:p>
      <w:r>
        <w:rPr>
          <w:b/>
        </w:rPr>
        <w:t xml:space="preserve">Datum: </w:t>
      </w:r>
      <w:r>
        <w:t>1924-05-03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Winberg (Kilbomspartiet, man)</w:t>
      </w:r>
    </w:p>
    <w:p>
      <w:r>
        <w:rPr>
          <w:b w:val="0"/>
        </w:rPr>
        <w:t>Ja, herr talman, jag beklagar verkligen de personer, vilkas liv och leverne skall nagelfaras såsom i här ifrågavarande fall, för att de skola komma i åtnjutande av ett understöd av 250 kronor, vilket, om möjligt, skall förhindra dem att svälta ihjäl.</w:t>
        <w:br/>
        <w:br/>
        <w:t xml:space="preserve">Jag känner icke till detta fall så noga, men jag misstager mig nog icke, när jag säger, att det är så i verkligheten, att vederbörande ämbetsverk ha rätt att utan vidare avskeda ifrågavarande befattningshavare ensamt av den anledningen, att de kommit till en sådan ålder, att det är bättre att avskeda dem och få ny arbetskraft i stället. När man här talat så mycket om att tjänsten icke utförts på tillfredsställande sätt, borde man hava fått litet mera klarhet om vad det är för förseelse, som i verkligheten begåtts, och man borde icke tala så här i allmänna ordalag. För min del, då jag känner till förhållandena inom administrativa verk och särskilt den icke ordinarie personalens ställning, förefaller det mig märkvärdigt, att en person efter 30 års tjänst skulle hava blivit fullständigt oduglig och skulle begå den ena förseelsen efter den andra, medan </w:t>
      </w:r>
      <w:r>
        <w:rPr>
          <w:b/>
        </w:rPr>
        <w:t>hon²</w:t>
      </w:r>
      <w:r>
        <w:rPr>
          <w:b w:val="0"/>
        </w:rPr>
        <w:t xml:space="preserve"> förut skött sig på tillfredsställande sätt. Här har man nog använt sig av denna rätt att i dessa indragningstider avskeda gammal personal för att få yngre krafter.</w:t>
        <w:br/>
        <w:br/>
        <w:t>Jag yrkar bifall till utskottets hemställan.</w:t>
      </w:r>
    </w:p>
    <w:p>
      <w:pPr>
        <w:pStyle w:val="Heading2"/>
      </w:pPr>
      <w:r>
        <w:t>2. Gustav Rosen (Frisinnade folkpartiet, man)</w:t>
      </w:r>
    </w:p>
    <w:p>
      <w:r>
        <w:rPr>
          <w:b w:val="0"/>
        </w:rPr>
        <w:t xml:space="preserve">Det förefaller som om herr Winberg icke hade läst betänkandet eller icke följt med diskussionen. Här står i betänkandet följande: »Upprepade gånger hava klagomål förekommit mot </w:t>
      </w:r>
      <w:r>
        <w:rPr>
          <w:b/>
        </w:rPr>
        <w:t>hennes²</w:t>
      </w:r>
      <w:r>
        <w:rPr>
          <w:b w:val="0"/>
        </w:rPr>
        <w:t xml:space="preserve"> sätt att förrätta städningen i postvagnarna, i anledning varav, då Hansson icke låtit sig rättas av gjorda föreställningar, postdirektionen ansett sig böra anskaffa annan vagnstäderska.» Det är klart, att det icke är postdirektionen, som hittat på detta, utan att det beror på upprepade klagomål från de lägre befattningshavare, som tjänstgöra i postvagnarna.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471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