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1650</w:t>
      </w:r>
    </w:p>
    <w:p>
      <w:r>
        <w:rPr>
          <w:b/>
        </w:rPr>
        <w:t xml:space="preserve">Datum: </w:t>
      </w:r>
      <w:r>
        <w:t>1925-03-04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Albin Hansson (Socialdemokraterna, man)</w:t>
      </w:r>
    </w:p>
    <w:p>
      <w:r>
        <w:rPr>
          <w:b w:val="0"/>
        </w:rPr>
        <w:t>Herr talman! Hade jag vetat, att jag berövade herr Lindman en tillfredsställelse, skulle jag inte hava begärt ordet utan låtit herr Engberg följa omedelbart efter honom. Jag ansåg det emellertid angeläget alt få ordet för att söka förhindra ett fortsättande med den konstruktion av en meningsskiljaktighet mellan statsministern och mig, som herr Lindman inlät sig på. Jag ber då att få erinra om vad herr Lindman sade och vilket föranledde min första replik. - Herr Lindman frågade: Varför just 105 miljoner? Detta gjorde han i ett sådant sammanhang, att ingen kunde få någon annan uppfattning om vad han menade än att regeringen skulle hava fixerat summan till 105 miljoner för att sedan se till vad som inom denna kostnadsram kunde åstadkommas. Det vore hela den undersökning, som skulle hava legat till grund för regeringens försvarsproposition! Insinuationen fick ju en alldeles särskild spets, när dessa 105 miljoner sedan kunde antydas stå 1 visst sammanhang med den summa, som man trodde, att de folkfrisinnades kompromissförslag i fjol skulle hava kostat. Jag svarade, att detta icke varit utgångspunkten. Vi hava undersökt vad som enligt vår uppfattning om det utrikespolitiska läget är nödvändigt och vad försvaret kräver; och jag hänvisade till, att vi kommit till det resultatet, att ett vidblivande av fjolårets ståndpunkt, sådan den utformats i utskottsförslaget, varit välmotiverat. För att ytterligare understryka detta, ber jag få citera några ord ur statsministerns uttalande till statsrådsprotokollet: »Prövningen av Sveriges yttre läge utfaller, enligt här förut utvecklade synpunkter, sålunda, att förutsättningar för en viss nedsättning av våra försvarsanstalter föreligga. Något hinder av utrikespolitisk natur att begränsa vår försvarsorganisation i vart fall till det mått fjolårets försvarsutskott föreslagit och riksdagens andra kammare givit sin anslutning föreligger enligt regeringens uppfattning icke. Ett beslut av denna innebörd skulle icke innebära något äventyrande av landets säkerhet.»</w:t>
        <w:br/>
        <w:br/>
        <w:t>Jag har i mitt anförande tidigare i dag, liksom statsministern gjort i sitt, hänvisat till, att två huvudsynpunkter varit bestämmande, den ena vårt försvarsbehov och den andra önskvärdheten av att åstadkomma en omfattande rustningsminskning. Att man förenar dessa ståndpunkter, det konstruerar ingen motsättning och det ger heller ingen anledning till frågan: Varför just 105 mil- Joner? Det förhåller sig verkligen på det viset, att efter undersökning av vårt utrikespolitiska läge hava vi kommit till den uppfattningen, att vi kunde hava ställt oss på fjolårets socialdemokratiska ståndpunkt, och därefter hava vi av andra skäl gått till en utbyggnad. Efter detta har jag kommit till en kostnadsram, som naturligtvis icke ens i det ögonblick, då förslaget förelåg fullt utarbetat, låg färdig och avslutad på 105 miljoner, utan som in i det sista varit föremål för justeringar, på vissa punkter uppåt och på andra nedåt. Men det är alltså icke så, som herr Lindman ville tolka mitt uttalande, eller att jag inte längre åberopar det statsfinansiella läget. Även den statsfinansiella synpunkten intresserar mig mycket. Men jag vill understryka vad statsministern här sade, att kan man med en liten eftergift i fråga om det statsfinansiella åstadkomma så mycket mera i effektivitet, är det ingen anledning att envist hålla</w:t>
        <w:br/>
        <w:br/>
        <w:t>fast vid en viss fixerad siffra. Detta statsministerns uttalande belyser ytter- Vid remiss av ligare, att här föreligger ingen sådan motsättning, som herr Lindman sökte sllonerna framkonstruera. nr 50 och 51.</w:t>
        <w:br/>
        <w:br/>
        <w:t>Jag skulle ju emellertid hava kommit i motsättning till mig själv också! Jag — (Forts.) läste det redan på middagen i Nya Dagligt Allehanda precis i samma form som herr Lindman sade det nu, och jag har alltså haft litet tillfälle att tänka på denna motsättning. Den skulle ligga i att, sedan jag förklarat, att denna slutsumma på 105 miljoner kronor helt enkelt varit resultatet av en summering av de militäriskt nödvändiga posterna, jag likväl åberopat marinstabschefens omdöme, att inom denna kostnadsram i avseende på flottan kunna inga förbättringar ske. Herr Lindman säger: »Alltså har försvarsministern givit marinstabschefen en viss kostnadsram.»</w:t>
        <w:br/>
        <w:br/>
        <w:t>Nej, herr Lindman, det var hela det utarbetade förslaget som remitterades till marinstabschefen och denne har varit fullkomligt oförhindrad att föreslå de förbättringar, som han kunde finna lämpliga. Hans uppgift gällde inte alls att inom en viss kostnadsram utarbeta ett förslag, utan det förelåg ett förslag, över vilket regeringen önskade höra hans omdöme. Det enda fall jag känner, där en myndighet fått ett uppdrag att inom en bestämd kostnadsram uppgöra ett militärt förslag, är fjolårets regerings uppdrag åt generalstabschefen att inom en till siffran bestämd kostnadsram utarbeta ett arméförslag. Den nu sittande regeringen har inte förfarit på samma sätt.</w:t>
        <w:br/>
        <w:br/>
        <w:t>Vidare upprepade herr Lindman sin fråga: har regeringen gjort några undersökningar av strategisk art rörande tillräckligheten av de fyra arméfördelningarna? Jag svarade i mitt förra yttrande på det enda sätt, jag ansåg förnuftigt, nämligen så, att det naturligtvis har uppgjorts en krigsorganisation. Men när herr Lindman framställer sin fråga i en form, som jag inte tycker är förnuftig, får jag väl också svara på ett sätt, som jag här trodde skulle vara överflödigt. Naturligtvis har det inte gjorts någon undersökning huruvida fyra fördelningar ur strategisk synpunkt äro tillräckliga. Ty då måste jag först ställa frågan: vilka strategiska synpunkter är det som man i det fallet har att taga hänsyn till? Herr Lindman hjälpte mig ett stycke på vägen i sitt svar, då han åberopade vad försvarsministern av i fjol gjort gällande, nämligen att sex arméfördelningar var det minsta, som ur strategisk synpunkt kunde anses tillräckligt. Jag hade redan då tillfälle att ge en replik just på det yttrandet, i polemik mot det då föreliggande förslaget. Dåvarande försvarsministern ville göra gällande att sex arméfördelningar skulle räcka, medan mot det socialdemokratiska förslaget anmärktes, att om man allenast hade tre fördelningar, skulle man vid ett fientligt landstigningsförsök nödgas koncentrera praktiskt taget hela armén på ett ställe och inte vara i stånd att disponera över trupper för annat ändamål och på andra håll. Jag tillät mig den något enkla invändningen, att om man fullföljde resonemanget skulle alltså de sex fördelningarna räcka till för att avvärja två landstigningsförsök. Men om det händelsevis skulle företagas ett tredje sådant försök, vart skulle vi då ta vägen? Jag menar, att herr Tindmans resonemang påminner om försvarsminister Malmroths resonemang. Man utgår från konstruktioner, där man inte ens anger vad de innehålla, och ställer sedan från dessa utgångspunkter sina frågor. Det är alldeles självklart, att om Sverige utsättes för ett anfall från en stormakt, som mot oss kastar in all den kraft som hela denna stormakt kan mobilisera, och om Sverige befinner sig i det läget att ensamt möta ett sådant anfall, så räcker inte de fyra fördelningarna. Då räcker inte heller de sex fördelningarna, inte herr Lindmans åtta, d. v. s. sex plus två, och då räcker inte heller 1914 års tolv arméfördelningar.</w:t>
        <w:br/>
        <w:br/>
        <w:t>Alltså, om det på frågan skall kunna ges ett exakt svar, måste frågan också vara av exakt karaktär; man måste veta något om de förutsättningar, med vilka herr Lindman räknar. Om herr Lindman svarar, att han räknar endast med en</w:t>
        <w:br/>
        <w:br/>
        <w:t>Vid remiss av enda förutsättning, nämligen den att vi skola kunna uttaga hela vår försvars-</w:t>
        <w:br/>
        <w:br/>
        <w:t>kraft, så medger jag självklart, att flera fördelningar och en större organisation</w:t>
        <w:br/>
        <w:br/>
        <w:t>nr 50 och 51. Också medger ett snabbare uttagande av hela försvarskraften. Men Jag vidhål-</w:t>
        <w:br/>
        <w:br/>
        <w:t>ler, att den organisation, till vilken det nu föreligger förslag, kan under de förutsättningar, med vilka vi räknat, medge ett uttagande så småningom av den försvarskraft folket besitter. Längre kan jag inte tilltredsställa herr Lindmans vetgirighet i avseende på våra undersökningar.</w:t>
        <w:br/>
        <w:br/>
        <w:t>Det kanske också kan tarvas en replik på herr Lindmans yttrande, att det föreligger en skillnad i förra regeringens och denna regeringens sätt att behandla sakkunskapen. Denna skillnad skulle bestå däri, som herr Lindman säger. att förra regeringen följt sakkunskapen litet längre på väg. Jag är inte så säker om att detta är någon skillnad. Om det finns två förslag, som den militära sakkunskapen förklarar vara fullkomligt oantagliga — och det är ett sådant fall som föreligger när man jämför fjolårets regeringsförslag med årets regeringsförslag — så kan jag knappast förstå att man på något sätt är uppmärksammare och artigare mot sakkunskapen genom att välja det ena eller det andra av de fullkomligt odugliga förslagen.</w:t>
        <w:br/>
        <w:br/>
        <w:t>Vad sedan beträffar frågan om reservfördelningar skulle det självklart föra in i en fullkomligt ofruktbar diskussion, om man här skulle ge sig ytterligare in på några spådomar angående framtiden.</w:t>
        <w:br/>
        <w:br/>
        <w:t>Jag har tillåtit mig uttala, att det enligt mitt förmenande finns förhoppning om, att när den första oroliga period, som vi nu kunna överblicka, har gått till ända, skola vi komma till ännu mer stabiliserade förhållanden och en ännu större trygghet. Detta skulle stå i motsättning till vad Jag skrev i försvarsrevisionen år 1923, enligt vad herr Andersson upplyst mig om. Jag satt vid det tillfället som försvarsminister och mottog försvarsrevisionens utlåtande, och har alltså inte yttrat mig i detta utlåtande. Men Jag anser inte, att vad där har sagts står i någon motsättning till vad Jag här yttrat. Ty hela utgångspunkten är, att man inte med bestämdhet kan veta någonting om denna framtid. Men ovissheten måtte väl omfatta möjligheter även till förbättring.</w:t>
        <w:br/>
        <w:br/>
        <w:t xml:space="preserve">Till sist ett par repliker i några detaljer. Rörande herr Lindmans förmodan, att en annan avgångsprotent skulle ha möjliggjort att vi kunde räkna med en så pass stor styrka vid repetitionsövningarna, kan endast svaras, att beräkningarna äro gjorda efter samma grunder i båda propositionerna. Beträffande en annan detalj, som inte herr Lindman berörde, men av vilken herr Lindmans partivän herr Pehrsson i Göteborg gjorde ett stort nummer, nämligen frågan om befrielsemöjlighet för fadern till oäkta barn, ber jag att få meddela vad som verkligen står i propositionen. Det föreslås befrielse bl. a. för den, »vilken vid den tidpunkt då han enligt $ 5 är skyldig att inställa sig till inskrivning har </w:t>
      </w:r>
      <w:r>
        <w:rPr>
          <w:b/>
        </w:rPr>
        <w:t>hustru²</w:t>
      </w:r>
      <w:r>
        <w:rPr>
          <w:b w:val="0"/>
        </w:rPr>
        <w:t xml:space="preserve"> eller barn, som äro för sitt uppehälle beroende av hans arbete». Med den tolkning man numera ger bestämmelser av denna art är det otvivelaktigt att ett sådant fall kan inträffa, att den som är försörjningspliktig mot ett utomäktenskapligt barn på denna grund befrias ifrån värnplikten. Men lagens bokslav ger honom inte rätt att i och för sig såsom barnafader befrias, utan förutsättningen är att han har en social försörjningsplikt. Barnet skall vara beroende av hans försörjning. Jag skulle vilja tillägga gent emot herr Pehrsson när han talar om detta såsom innebärande en privilegiering av dessa personer, att här inte inträtt något annat förhållande än att samtliga de, som hittills kunnat komma i åtnjutande av familjeunderstöd, numera helt och hållet befrias. För det närvarande är det så, att fadern till ett oäkta barn kan komma i åtnjutande av familjeunderstöd för detta barns försörjning, d. v. s. samhället erkänner, att under den tid fadern fullgör sin värnplikt har samhället vissa skyldigheter att hjälpa honom i hans försörjningsplikt. Principen blir densamma. Ått han har en sådan försörjningsplikt motiverar,</w:t>
        <w:br/>
        <w:br/>
        <w:t>att han inte tas ifrån denna försörjningsplikt, utan han erhåller i stället befrielse. Någon större revolution i moralbegreppen har inte ägt rum genom detta förslag.</w:t>
        <w:br/>
        <w:br/>
        <w:t>Herr Hamrins yttrande, att det föreliggande förslaget är ett reviderat frisinnat förslag, vars revision tyvärr har kostat oss 33 miljoner kronor, ger mig anledning uttala, att det naturligtvis är enbart glädjande, om de frisinnade känna sig så bundna till förslaget, att de betrakta det som sitt eget. Men å andra sidan skulle jag också vilja säga, att jag inte är alldeles säker på hr Hamrins kostnadsberäkning. Ty visserligen kan man säga, att om det nu föreliggande förslaget genomförts i fjol hade vi ett år tidigare gjort en besparing på 30 miljoner kronor, men om den frisinnade kompromissen antagits, hade i själva verket ingen vetat vad den kommit att kosta. Detta är en av skillnaderna mellan detta förslag och de frisinnades kompromissförslag.</w:t>
        <w:br/>
        <w:br/>
        <w:t>Till sist herr Fjellman. Herr Fjellman klagade över att denna organisation hade fått ett så gott huvud, men en sämre kropp. Jag tror att både ur fredsorganisationens och den eventuella krigsanvändningens synpunkt det dock är bättre, att det finns ett gott huvud på en kanske något svag kropp, än om man gått den motsatta vägen och på en stark kropp satt ett dåligt huvud.</w:t>
      </w:r>
    </w:p>
    <w:p>
      <w:pPr>
        <w:pStyle w:val="Heading2"/>
      </w:pPr>
      <w:r>
        <w:t>2. Arthur Engberg (Socialdemokraterna, man)</w:t>
      </w:r>
    </w:p>
    <w:p>
      <w:r>
        <w:rPr>
          <w:b w:val="0"/>
        </w:rPr>
        <w:t>Herr talman! Jag har vågat fråga några äldre kammarledamöter här runt omkring, om det under deras riksdagstid har förekommit, att en talare insinuerat mot kammarens talman, som inte är i tillfälle att försvara sig, att talmannen vidtagit några arrangemang med avseende på den ordning, i vilken talarna sig anmäla. Det har från alla håll runt omkring sagts, att någonting sådant har hittills icke förekommit. Den angripne kan själv inte försvara sig, men jag vågar här säga herr Lindman, att tilltaget att insinuera mot andra kammarens talman, att han är med om något slags hokus pokus heträffande talarelistan, det tilltaget får stå för herr Lindmans egen räkning. Jag är övertygad om att kammaren slår vakt om sin talman och inte vill vara med om slika insinuationer.</w:t>
        <w:br/>
        <w:br/>
        <w:t>Jag måste för min del, herr talman, också beklaga, att jag inte kan göra herr Tindman nöjet att i mitt anförande följa det program, som han föreskrev mig. Själv försökte jag för någon tid sedan i min tidning teckna den väg, som herr Lindman i ett anförande skulle komma att följa. Jag hade mera lycka än han, ty det råkade stämma ungefär på pricken. Det var egentligen bara en enda detalj, i vilken det skilde.</w:t>
        <w:br/>
        <w:br/>
        <w:t>När jag begärde ordet, var det endast för att säga ett par saker, som i den här frågan länge ha legat mig om hjärtat. Den första gäller den så kallade sakkunskapen. Här har talats om hänsyn till sakkunskapen, och här har tvistats om i vilken omfattning olika partier följa sakkunskapen. Vad är sakkunskap i dessa frågor, herr Lindman? Jag förstår, att herr Lindman i sin ställning som självutnämnd konteramiral ögonblickligen menar, att det är de högre militärerna, som äro de sakkunniga. När man läst generalstabschefens utlåtande om Gentveprotokollet, vad finner man? Jo, hurusom hela hans resonemang bottnar i ett utrikespolitiskt bedömande. Jag måste för min del, herr talman, hävda den uppfattningen, att den omständigheten att en människa är officer, den omständigheten att en människa representerar sakkunskapen i militärtekniska frågor där han är yrkesutövare, den gör honom inte ett spår sakkunnig på de helt andra områden, som gälla det utrikespolitiska bedömandet av vårt läge. Ni kunna ha all respekt för våra militärer, när det gäller frågan hur man tekniskt skall ordna med den ena eller den andra detaljen. Men då det yrkas, att man skall gå till herrar officerare och ställa frågan så: »vad är herrarnas mening om hur mycket vi behöva i den tid som råder för att försvara oss?», då vill jag svara, att de sista man skall vända sig till med en dylik fråga äro yrkesmilitä-</w:t>
        <w:br/>
        <w:br/>
        <w:t>Vid remiss av rerna. De ha inte någon speciell sakkunskap och inte någon utbildning för det</w:t>
        <w:br/>
        <w:br/>
        <w:t>ändamålet. Där äro de att betrakta som amatörer, precis som var och en annan</w:t>
        <w:br/>
        <w:br/>
        <w:t>nr 50 och 51. lekman, som reflekterar över utrikespolitiska frågor. Men jag går ett steg</w:t>
        <w:br/>
        <w:br/>
        <w:t>längre, herr Lindman. Jag säger, och jag tar inte tillbaka det, att det för herrar officerare finns ett minus, när de uppträda i frågor, som röra vårt militärpolitiska läge. Och detta minus ligger däri, att de på grund av hela sin kårställning från början äro benägna att med varandra förväxla sina egna önskemål angående kårens intressen och bestånd med de motiv av utrikespolitisk natur, som läggas till grund för deras uppfattning i själva försvarsfrågan. Jag tror därför att ju förr vi göra oss kvitt föreställningen, att här existera några speciellt sakkunniga personer i galoner i utrikespolitiska frågor, desto bättre. Det är här, liksom på så många andra områden, det sunda bondförståndet som får lov att fälla utslaget. Knektadömet i det här landet bör icke ha någonting att säga till om, när det gäller att bedöma det utrikespolitiska och militärpolitiska läget. Det skall göra sin tjänst när det gäller dess arbetsuppgifter, men regering och riksdag må förbehålla sig rätten att själva bilda sin uppfattning om de allmänna utgångspunkter, från vilka man vid en försvarsreform skall utgå.</w:t>
        <w:br/>
        <w:br/>
        <w:t>Detta var det ena som jag, herr talman, ville säga om sakkunskapen.</w:t>
        <w:br/>
        <w:br/>
        <w:t>Den andra saken jag ville säga till herr Lindman om sakkunskapen är ungefär följande: År 1914 krävde högern de 340 dagarna i sakkunskapens namn. Vi hade då förut haft de 240. Men man var likväl i herr Tryggers proposition 45 dagar nere under vad man hade redan 1901, vilket visar att det i det fallet ifrån högerns sida måste vara ett underligt jonglerande med hänsyn till sakkunskapen. Jag ber vidare att herr Lindman lägger märke till, att den tidning, den där företräder generalstaben i landet, nämligen Svenska Dagbladet, har uttryckligen gång på gång under den Tryggerska regeringens tid sagt ifrån, att denna regerings förslag stod i fullkomlig strid med sakkunskapens fordringar, och jag misstänker att herrar Järte och Forssell kunna vittna åtskilligt om de synpunkter, som därvidlag ha anlagts.</w:t>
        <w:br/>
        <w:br/>
        <w:t>Emellertid, herr talman, vill jag också säga en annan sak. Det är, att när regeringen har lagt fram detta förslag så är det ju ingen hemlighet för någon, att det socialdemokratiska partiet ställer sig bakom av politiska skäl, och inte på grund av någon samlad övertygelse om, att just det eller det är det enda nödvändiga. Ty det säger sig självt, att vad som här bjudes inte är uttrycket för någon samlad partiuppfattning eller partiåskådning om vad som är det absolut oundgängliga, men uttrycket för ett kallt räknande med det faktiska parlamentariska läge, 1 vilket vi befinna oss, och uttrycket för en önskan, att med största möjliga nedsättning i bördorna få en lösning av frågan vid årets riksdag. Det har redan vittnats från ett par håll, att meningarna kunna vara delade, och naturligtvis äro delade, men vad som för oss gemene man inom partiet är solklart är detta, att vi ha en skyldighet att allesammans hjälpa till för att denna fråga äntligen bringas till en lösning. Jag skulle verkligen vilja fråga herr Lindman, om han tror, att han gör det svenska försvaret någon tjänst genom att medverka till en politik, vars syfte uppenbarligen är att ännu en gång kasta denna fråga ut i det ovissa. Herr Löfgren använde ordet hasardspel, och herr Lindman ondgjorde sig över detta omdöme. Jag tror för min del att omdömet är ganska väl grundat, ty hade högern här verkligen haft ett positivt intresse av att få en lösning utav frågan till stånd, så skulle herr Lindmans senaste anförande med dess tydliga tillkännagivande av att högern kommer att ställa sig utanför icke hava hållits. Jag tror, att det är ganska beklagligt, och det är till på köpet ett fattigdomsbevis för ett stort politiskt parti som högerpartiet, att uti den fråga, som detta parti betraktar såsom nationens livsfråga, det står med tomma händer och går att slå vakt kring ett provisorium, om vilket högerns egen försvarsminister i fjol, och f. ö. även hela regeringen, förklarade, att</w:t>
        <w:br/>
        <w:br/>
        <w:t>det ur alla möjliga synpunkter inte längre borde bestå. Jag tror, att man gott Vid remiss av</w:t>
        <w:br/>
        <w:br/>
        <w:t>och väl kan överlåta åt var och en att forma sitt omdöme om den sortens Posomna litik. nr 50 och 51.</w:t>
        <w:br/>
        <w:br/>
        <w:t>Herr Lindman erinrade om 1914 i jämförelse med nu, i anledning av stats- = (Forts.) ministerns uttalande om en påtvungen härordning. Herr Lindman förklarade: Ja, riksdagen beslöt ju detta. Den härordningen var sålunda inte påtvungen. Men kanske herr Lindman vill tänka efter, hurudan riksdagen var år 1914 i jämförelse med den nuvarande. Vi hade då den 40-gradiga skalan, på vilken första kammaren vilade, och vi hade skattestrecken, av vilka denna kammare berodde på ett sådant sätt, att stora massor av medborgare inte kommit till tals vid valurnorna. 1914 års riksdag representerade inte den svenska nationen. Den representerade väsentligen vissa kretsar och skikt utav den övre nationen så att säga, men den representerade inte nationen i dess breda massa, som den gör den dag i dag är.</w:t>
        <w:br/>
        <w:br/>
        <w:t>När därför en riksdag, sammansatt på den allmänna och lika rösträttens grund, går att befatta sig med landets försvarsfråga, så måste jag för min del säga, att det är en helt annan situation, i vilken man befinner sig, och en helt annan nödvändig förutsättning att söka en bred basis för frågans lösning, ett rimligt sammanhang mellan folkmeningen därute i landet och de resultat, till vilka man här kommer. Det sammanhanget blev inte rimligt år 1914, och jag tvivlar på att herr Lindman, om han vill vara ärlig, med tanke på hela bondetågsspektaklet och den våldsamma hets, som då drevs, samt den diktatur, med vilken man från herr Lindmans eget parti trädde fram till Karl Staaff och hans män för att tvinga dem på knä, jag tvivlar på att herr Lindman med tanke på detta skulle på allvar kunna göra gällande, att där förelåg någonting högst normalt, inte någonting påtvingat, o. s. v. Ånej, mina herrar, så lätt går det inte att komma ifrån att där förelåg ett påtvingande av en försvarsorganisation, som nationen inte ville veta om.</w:t>
        <w:br/>
        <w:br/>
        <w:t>Herr Lindman bör f. ö., när han refererar vad som förekom i 1915 års riksdagsdebatt, referera det på ett sätt, som gör det tillförlitligt. Det yttrande, herr Kvarnzelius hade i första kammaren riksdagen 1915, hölls bara några månader efter 1914 års beslut. Jag misstänker, att herr Lindman inte skall få någon uti denna kammare och inte heller någon utanför densamma, som har tänkt något i dessa stycken, att tro, att det vid 1915 års riksdag fanns något sådant genomfört av 1914 års beslut, att man kan hänföra Kvarnzelii omdömen till betydelsen av detta beslut. Herr Lindman inser väl det verkligt hopplösa i en sådan argumentation — eller vad var det, herr Lindman, som vid 1915 års riksdag fanns genomfört av 1914 års beslut, som skulle hava betytt denna nya styrka, till vilken man med förtröstan kunde hänvisa?</w:t>
        <w:br/>
        <w:br/>
        <w:t xml:space="preserve">Herr Lindman säger nu vidare, att här förelåg ifrån vänsterpartiernas sida bara politiska grunder, under det att hans parti naturligtvis räknar för det första med sakkunskapen och för det andra med oron för fosterlandet. Herr Lindman behagade säga om herr Löfgren, att hans parti patenterade för sig alla förträffligheter — herr Lindman patenterar för sig och för sitt parti oron för fosterlandet. Tillåt mig säga, herr talman, att vi på vårt håll, som också äro intresserade för denna fråga, vi hava rätt att även vi göra anspråk på att kunna känna oro för fosterlandet, och vi tillåta sannerligen inte, att här blir någon klassindelning uti detta land emellan sådana. som inte skulle hava sinne för fosterlandet, och sådana, som skulle hava det. Hos oss förekommer det otroliga, som nästan inte finnes i något annat land, att man bildar föreningar för att älska fosterlandet. Hur skulle det vara, om man tänkte sig, att man bildade föreningar för att älska sina </w:t>
      </w:r>
      <w:r>
        <w:rPr>
          <w:b/>
        </w:rPr>
        <w:t>mödrar²</w:t>
      </w:r>
      <w:r>
        <w:rPr>
          <w:b w:val="0"/>
        </w:rPr>
        <w:t xml:space="preserve"> eller för att älska sina fästmör? Men den svenska högern bär i hög grad ansvaret för att fosterlandskärleken har gjorts till svindel och humbug, där den borde vara en sund och äkta och levande känsla</w:t>
        <w:br/>
        <w:br/>
        <w:t>Vid remiss av inom nationen, som bure den fram genom olika öden och kunde samla den i de</w:t>
        <w:br/>
        <w:br/>
        <w:t>stora ögonblicken. Och jag vill, herr talman, säga, att om högern i fortsättningen går till arbetet i denna fråga i den anda, med vilken herr Lindman senast talat, med anklagelse emot vänstern för att inte känna någon oro för fosterlandets framtid och med det självbelåtna påståendet, att endast högern har rätt att göra anspråk på att betraktas som fosterlandsälskande, då komma vi till det resultatet, att vi i framtiden måste betrakta det rent av som en rättvisa och en lycka, att högern ställde sig själv utanför och inte fick någonting att säga till om, när vänstern i landet löste försvarsfrågan.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