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1656</w:t>
      </w:r>
    </w:p>
    <w:p>
      <w:r>
        <w:rPr>
          <w:b/>
        </w:rPr>
        <w:t xml:space="preserve">Datum: </w:t>
      </w:r>
      <w:r>
        <w:t>1925-03-13</w:t>
      </w:r>
    </w:p>
    <w:p>
      <w:r>
        <w:rPr>
          <w:b/>
        </w:rPr>
        <w:t xml:space="preserve">Kammare: </w:t>
      </w:r>
      <w:r>
        <w:t>Andra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Karl Allan Westman (–, man)</w:t>
      </w:r>
    </w:p>
    <w:p>
      <w:r>
        <w:rPr>
          <w:b w:val="0"/>
        </w:rPr>
        <w:t>Herr talman, mina herrar! Då jag tillhör utskottets majoritet bör det väl även från detta håll sägas några ord, varför jag ber att några få minuter taga kammarens tid i anspråk. Det är ju en gammal fråga, som tagits upp till debatt. Riksdagen har nämligen godkänt samma. utskottsutlåtande i fjol, och även året förut var lydelsen densamma, som föreligger i dag. Det har icke enligt mitt förmenande inträffat någonting av den beskaffenhet, att riksdagen har anledning att frångå denna sin tidigare angivna ståndpunkt. Genom den allmänna och lika rösträtten få ju alla befolknings-</w:t>
        <w:br/>
        <w:br/>
        <w:t>lager tillfälle att göra sina åsikter gällande på samhällets olika områden. En</w:t>
        <w:br/>
        <w:br/>
        <w:t>reformering av bestämmelserna om valrätten drabbar sålunda icke något särskilt parti. Frågan gäller om de yngre åldersklasserna skola tillföras de</w:t>
        <w:br/>
        <w:br/>
        <w:t>för politisk skilda partierna, och om detta skulle vara någon förmån för partiernas samoch kommunal Mansättning och arbete att få med dessa yngre åldersklasser. Helt säkert kom-</w:t>
        <w:br/>
        <w:br/>
        <w:t>ma dessa yngre åldersklassers åskådningar att göra sig gällande inom de olika partierna. |</w:t>
        <w:br/>
        <w:br/>
        <w:t>Vi, som tillhöra utskottets majoritet, befara, att dessa yngre åldersklassers erfarenhet ej är tillräckligt stor och vi dela nog den uppfattningen att om dessa yngre åldersklasser tillfördes de olika partierna, det skulle menligt inverka på partiernas arbete. Det fordras dock en viss erfarenhet och insikt för att fatta avgörande i samhällslivets olika frågor. Min personliga erfarenhet är den, att när man är 20—21 år gammal har man icke den erfarenhet och mognad, som erfordras härför.</w:t>
        <w:br/>
        <w:br/>
        <w:t>Det föreligger till behandling två motioner, i den ena motionen föreslås 20 år för rätt att deltaga i val till andra kammaren och i den andra motionen föreslås åldersgränsen till 21 år, under det att utskottet fortfarande stannat vid 23-årsgränsen. Av dessa bud framgår tydligen att det endast är en lämplighetsfråga, vilken åldersgräns man skall bestämma. Vi som anse, att det icke finnes anledning att frångå den fastslagna 23-årsåldern, göra det därför, att vi vilja som sagt ha större erfarenhet och mognad hos de röstande.</w:t>
        <w:br/>
        <w:br/>
        <w:t xml:space="preserve">Jag var nere i riksdagsbiblioteket för att friska upp minnet om vilka rösträttsbestämmelser som tillämpas i våra grannländer. Jag fann då, att i det radikala Danmark ha vid röstning till folketinget alla män och </w:t>
      </w:r>
      <w:r>
        <w:rPr>
          <w:b/>
        </w:rPr>
        <w:t>kvinnor¹</w:t>
      </w:r>
      <w:r>
        <w:rPr>
          <w:b w:val="0"/>
        </w:rPr>
        <w:t xml:space="preserve">, som äro 25 år gamla, rösträtt och äro valbara, under det att landstingsmännen väljas av 35-åriga folketingsväljare. I det ännu radikalare Norge, där man har enkammarsystem, har varje norsk medborgare, man och </w:t>
      </w:r>
      <w:r>
        <w:rPr>
          <w:b/>
        </w:rPr>
        <w:t>kvinna¹</w:t>
      </w:r>
      <w:r>
        <w:rPr>
          <w:b w:val="0"/>
        </w:rPr>
        <w:t>, som är 23 år gammal, valrätt, och för valbarhet fordras 30 år. I Sverige äro vi sålunda ingalunda efter på reformernas väg utan snarare tvärtom.</w:t>
        <w:br/>
        <w:br/>
        <w:t>Herr Sävström frågade vad anledningen kunde vara till att vi, motståndarna till reformen, kunde godkänna, att det är olika rösträttsålder vid val till riksdagens andra kammare och vid val av landstingsmän. Det har utskottet svarat på i sin motivering. Utskottet säger, att det beror på det samband, som landstingen ha med första kammarens sammansättning. Det vore ju att rubba artskillnaden mellan kamrarna. om man ändrade nu gällande åldersgräns 27 år till 23 eller som även föreslagits till 20 år. Jag framhöll Ju nyss, att i Danmark har man en åldersgräns av 35 år för val till landstinget, och denna förhållandevis höga ålder har givetvis skäl för sig 1 detta land, liksom en högre ålder hos oss, då ju landstinget i Danmark är närmast Jämförbart med vår första kammare. |</w:t>
        <w:br/>
        <w:br/>
        <w:t>Jag tror icke, att jag bryter diskretionen, om Jag meddelar, att man inom konstitutionsutskottet är sysselsatt med förstakammarproblemet. Innan förstakammarproblemet är löst, vill jag icke vara med om att ändra åldersgränsen vid val av landstingsmän, men jag måste medge, att en person, som är berättigad att rösta vid val till andra kammaren, även kan anses lika berättigad att rösta på landstingsmän. Men att så icke är förhållandet. det beror på den uppgörelse, i ett större sammanhang, som skedde år 1918, då den nu gällande åldersgränsen sattes.</w:t>
        <w:br/>
        <w:br/>
        <w:t>Såsom saken för närvarande ligger har jag, herr talman, icke anledning att frångå den ståndpunkt, som utskottet har tagit både i år och föregående år, utan jag ber med dessa ord att få yrka bifall till utskottets förslag i förevarande punkt.</w:t>
      </w:r>
    </w:p>
    <w:p>
      <w:pPr>
        <w:pStyle w:val="Heading2"/>
      </w:pPr>
      <w:r>
        <w:t>2. Ruben Wagnsson (Socialdemokraterna, man)</w:t>
      </w:r>
    </w:p>
    <w:p>
      <w:r>
        <w:rPr>
          <w:b w:val="0"/>
        </w:rPr>
        <w:t>Herr talman, mina damer och herrar! De motioner, som nu behandlas, beröra ju sänkningen av åldersgränsen vid såväl riksdagsmanna-</w:t>
        <w:br/>
        <w:br/>
        <w:t>val som kommunala val och val av landstingsmän. Det har synts mig riktigt att sätta den civila myndighetsåldern såsom politisk myndighetsålder, då man ej kunnat framvisa något skäl, varför vid dessa val rösträttsåldern bör sättas högre än den ålder, som anses lämplig för myndighetens inträdande. Det synes mig vara skäl i att fasthålla vid kravet på att myndighetsoch rösträttsålder skola vara desamma.</w:t>
        <w:br/>
        <w:br/>
        <w:t>Nu kan man invända, att frågan om åldersgränsens sänkande från 23 till 21 år beträffande politiska och kommunala val är av mindre praktisk betydelse, och det kan jag delvis instämma i. Större betydelse har den andra frågan, nämligen frågan om det åldersstreck, som finnes vid val av landstingsmän. Den föregående talaren, som representerade konstitutionstskottets uppfattning, medgav i slutet av sitt anförande, att han icke kunde finna något direkt skäl, varför en person, som har rösträtt vid val av ledamöter till andra kammaren, icke skulle ha rösträtt vid val av landstingsmän, och jag ber att få taga fasta på det erkännandet.</w:t>
        <w:br/>
        <w:br/>
        <w:t>Äldersstrecket vid kommunala val och landstingsmannaval var före 1918 21 år, och man har, såvitt jag vet, icke haft några olägenheter av att denna åldersgräns fanns. Vid den uppgörelse, som skedde, då den stora författningsrevisionen genomfördes år 1918, lyckades man höja åldersgränsen till 27 år, men det skedde närmast med anledning av yrkande från högerhåll, där man ville skaffa sig garanti mot för kraftiga omvälvningar. Jag ber gentemot herr Westman få erinra om att de socialdemokratiska talare, som uppträdde i rösträttsdebatten vid urtiman 1918, betonade kraftigt, att det socialdemokratiska partiet icke förband sig att hålla fast vid 27-årsgränsen såsom rösträttsgräns vid landstingsmannaval, utan de hävdade tvärtom, att införandet av denna höjda åldersgräns var resultatet av en kompromiss, som de ansågo sig oförhindrade att vid första lämpliga tillfälle söka få upphävd och sålunda få en lägre rösträttsålder vid dessa val. Detta underströks av bland andra herr Branting i hans stora anförande, men det framhölls ännu kraftigare av herr Gustav Möller och herr Viktor Larsson.</w:t>
        <w:br/>
        <w:br/>
        <w:t>Höjningen av rösträttsåldern till 27 år vid landstingsmannaval har påtagligen medfört en del absurditeter. Det har sålunda medfört, att en man kan vara valbar till ordförande i kommunalnämnd och kan såsom sådan anförtros att taga hand om en kommuns förvaltning och ekonomi utan att ha kvalifikation för att avgiva sin röst vid landstingsmannaval. 27 år är för övrigt en godtyckligt vald gräns. Ingen talare kan våga sig på det konststycket att bevisa, varför man vid 27 år skall besitta det högre mått av visdom, som skall krävas för deltagande i val av landstingsmän. Denna gräns kom tydligen till på grund av en kompromiss mellan högerns yrkande på 35 år och det från socialdemokratiskt håll framställda yrkandet på 21 år. Man gick varandra till mötes för att få denna reform 1918, men jag finner icke något skäl till att nu vidhålla en så godtyckligt vald åldersgräns.</w:t>
        <w:br/>
        <w:br/>
        <w:t>Det har i utskottets utlåtande liksom i denna debatt av herr Westman gjorts gällande, att denna åldersgräns är nödvändig för att kunna fastslå en karaktärsskillnad mellan de båda kamrarna. Jag tror, att det argumentet på ett lyckligt sätt tillbakavisats av den talare, herr Sävström, som öppnade debatten och som framhöll, att det finnes en bestämd karaktärsskillnad mellan båda kamrarna genom att första kammaren väljes genom medelbara val av elektorer genom den längre valperioden, genom den högre åldern för ledamöter i första kammaren och genom att för första kammarens vidkommande bostadssetrecket saknas. Det är alltså icke nödvändigt att koppla samman frågan om rösträttsålder med det större nroblemet om första kammaren.</w:t>
        <w:br/>
        <w:br/>
        <w:t>Jag tillåter mig, herr talman, att med stöd av det anförda yrka bifall till</w:t>
        <w:br/>
        <w:br/>
        <w:t>- Äng. den reservation, som herr Sävström m. fl. har fogat vid utskottets utlåtande es och som ansluter sig till de av mig i ämnet väckta motionerna.</w:t>
        <w:br/>
        <w:br/>
        <w:t>åldern</w:t>
      </w:r>
    </w:p>
    <w:p>
      <w:pPr>
        <w:pStyle w:val="Heading2"/>
      </w:pPr>
      <w:r>
        <w:t>3. Gustaf Adolf Björkman (Första kammarens nationella parti, man)</w:t>
      </w:r>
    </w:p>
    <w:p>
      <w:r>
        <w:rPr>
          <w:b w:val="0"/>
        </w:rPr>
        <w:t>Herr talman! Den siste talaren sade, att han undrade, om någon skulle kunna klara det konststycket att visa, varför en viss ålder satts såsom gräns för rösträtt. Jag vill säga, att det är givet, att om man fastslår en viss åldersgräns för människors rättigheter och skyldigheter i särskilda hänseenden, så blir det en lämplighetsfråga, som får prövas i det ögonblick, då man fattar beslutet i fråga. Så är det i den civila lagstiftningen och så är det i avseende å de rättigheter och skyldigheter, som åvila personer såsom statsborgare. Jag vill i avseende å den civila myndighetsålder, som några av kammarens ledamöter anse vara den ålder, till vilken man bör gå ned vid bestämmandet av rösträttsgränsen, under det att andra ju anse att man bör gå ännu djupare ned, påpeka, att myndighetsåldern enligt civillagen är 21 år, men att det finnes en slags myndighetsålder även därunder, som är satt till 16 år. Denna myndighetsålder av 16 år innebär, att åt en person givits vissa befogenheter, i det att åt honom givits förfoganderätt i personellt avseende, förfoganderätt över de medel, som han själv förtjänar, och förfoganderätt över medel, som tillfallit honom genom gåva och testamente. Varför har man satt deuna åldersgräns till 16 år? Jo, vi hade förut en gräns av 15 år, men det har visat sig vid den nya förmynderskapslagstiftningens tillkomst lämpligt att ändra denna gräns till 16 år. Att så har blivit förhållandet har berott på vissa subjektiva moment, som gjort sig gällande och som gjort, att man fastnat för Just den åldern. Det kan hända, att det i avseende å den ålder av 27 år, som erfordras för valrätt till landstingsmän, är så, att den tillkommit genom en kompromiss, men det har dock varit ett fast lämplighetsunderlag bakom.</w:t>
        <w:br/>
        <w:br/>
        <w:t>I avseende på rätten att utöva en statsborgares rättigheter borde det väl vara givet, att man har att fordra något utöver den civila myndighetsåldern, en viss högre mognad och erfarenhet i omdömet, och det synes vara en fordran, som man icke får släppa. Under det att vissa individer kunna anses dugliga att vara statsborgare vid en yngre ålder är det icke sagt, att man generellt får säga, att alla äro lika bra vid samma ålder. Väl kunna vissa individer inom varje åldersklass höja sig över de andras mått, och då kan det synas egendomligt, att man icke kan vara med om att tillerkänna dessa personer alla de rättigheter, som man skulle vilja giva dem. Men nej, det kan man icke därför att det måste givas generella bestämmelser. Vi få icke lagstifta härvidlag efter undantagen i synnerhet icke i en tid, då det finnes så mycken bestämmanderätt given åt medborgarna. Det bör vara en viss hämsko på ungdomen, som icke kan med nödig mognad och ansvarskänsla sätta sig in i alla de viktiga frågor, som representanterna skola avgöra.</w:t>
        <w:br/>
        <w:br/>
        <w:t>Här bör också påpekas, att denna åldersgräns gäller icke för vissa klasser,</w:t>
        <w:br/>
        <w:br/>
        <w:t xml:space="preserve">utan den gäller för alla klasser. Man kan icke göra gällande, att det är ett streck; som är riktat mot en viss klass, utan det gäller för både den ena och den andra klassens söner och </w:t>
      </w:r>
      <w:r>
        <w:rPr>
          <w:b/>
        </w:rPr>
        <w:t>döttrar²</w:t>
      </w:r>
      <w:r>
        <w:rPr>
          <w:b w:val="0"/>
        </w:rPr>
        <w:t>, att de få vänta en tid. . Nu har särskilt anmärkts på 27-årsåldern. Den tillkom som ett moment i den stora överenskommelsen 1918 och 1920. Om man nu säger, att det är egendomligt, att just 27-årsåldern existerar såsom gräns, och frågar, varför man ej går med på att ändra den, så svarar Jag, att vi få taga upp den frågan i samband med förstakammarproblemet i dess helhet och diskutera, vad 27- årsåldern har för betydelse. Jag vill ej vara med om att taga bort denna åldersgräns, innan vi veta, hur det stora problemet skall lösas, om det skall ske på det ena eller på det andra sättet.</w:t>
        <w:br/>
        <w:br/>
        <w:t>Herr Sävström sade, att från socialdemokratisk sida vore icke fråga om någon attack mot första kammaren. Men en attack kan ske direkt eller indirekt, och i detta fall sker den på indirekt sätt. Jag vill i det avseendet påpeka, att herr Sävström nämnde två indirekta vägar, där han och hans meningsfränder ville gå för att lätta på bestämmelserna om första kammarens sammansättning, nämligen dels i fråga om census och dels i fråga om denna åldersgräns. Men därvidlag böra vi allt vänta, tills vi sett, hur hela förstakammarproblemet gestaltar sig. Jag vill för min del säga rent ut, att kunna herrarna erbjuda andra garantier för att första kammaren får sådan sammansättning, som i ett tvåkammarsystem är avsedd för ett överhus eller herrehus, då skall naturligtvis frågan diskuteras, men ej detaljer lösryckta från problemet i dess helhet.</w:t>
        <w:br/>
        <w:br/>
        <w:t>Det har redan från något håll påpekats, att det icke tyckes vara någon starkare opinion för denna frågas lösning, icke någon opinion, som visat sig i valstriderna eller eljest. Även jag vill understryka, att denna fråga icke varit uppe på sådant sätt, att man kan säga, att det är ett starkt önskemål att få den löst denna dag. Tidigare har det dock varit så, när ett viktigt författningsspörsmål krävt sin lösning, att det åtminstone någon gång gått 1genom regeringsbehandlingens skärseld. Det har nu icke varit fallet med detta problem. Frågan har väl stått på det ena eller det andra valprogrammet, men det är icke visat, att det finnes en stark mening i saken. Hur litet stark den är, synes bäst därav, att kammaren vid frågans avgörande är så glest besatt, som nu är fallet.</w:t>
        <w:br/>
        <w:br/>
        <w:t>Herr Sävström nämnde i sitt anförande, att han hoppades, att det nu snart skulle komma till stånd en vänsterlösning av denna fråga. Jag hoppas emellertid, att riksdagen, innan den går med på en lösning vare sig i den ena eller den andra riktningen, noga betänker sig. Det har varit konstitutionsutskottets åsikt i frågan, och jag ber, herr talman, att få yrka bifall till detta utskotts avstyrkande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1656</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