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487</w:t>
      </w:r>
    </w:p>
    <w:p>
      <w:r>
        <w:rPr>
          <w:b/>
        </w:rPr>
        <w:t xml:space="preserve">Datum: </w:t>
      </w:r>
      <w:r>
        <w:t>1925-03-14</w:t>
      </w:r>
    </w:p>
    <w:p>
      <w:r>
        <w:rPr>
          <w:b/>
        </w:rPr>
        <w:t xml:space="preserve">Kammare: </w:t>
      </w:r>
      <w:r>
        <w:t>Första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Gustav Rosen (Frisinnade folkpartiet, man)</w:t>
      </w:r>
    </w:p>
    <w:p>
      <w:r>
        <w:rPr>
          <w:b w:val="0"/>
        </w:rPr>
        <w:t>Herr talman! Riksdagen har vid några tillfällen framhållit angelägenheten av att statens lagerhusoch fryshusstyrelses verksamhet genom lagerhusens försäljning, uthyrning eller på annat sätt så ordnades, att statsverkets årliga utgifter därför i möjligaste mån nedbringades. Jag vill begagna detta tillfälle att uttala min förhoppning, att nämnda styrelse skall försöka så ordna det, att lagerhusen må kunna snarast möjligt försäljas.</w:t>
        <w:br/>
        <w:br/>
        <w:t>Statsverket äger åtta spannmålslagerhus utom det nu till försäljning föreslagna Roma spannmålslagerhus. Lagerhusstyrelsen uttalar, att priset för detta är »ganska lågt» — 30,000 kronor — och det är obestridligt, ty byggnaden kostar staten minst 668,000 kronor. Det blir ungefär 4 procent av kostnaden. Jag är inte säker på, att den köpeskilling, som staten nu får, fullt täcker kostnaden för ritningarna till spannmålslagerhuset i fråga. Riksdagen har för byggnader av detta slag samt fryshuset i Hallsberg anvisat sammanlagt 11,800,000 kronor. Det uppstår betydande årliga förluster på denna rörelse för tillsyn och drift. 1922 uppgingo inkomsterna till 66,000 kronor och utgifterna till 192,000 kronor. Häri ingår naturligtvis ingen ränta. Anslaget på 11,800,000 kronor har utgått av lånemedel, men man har ändå inte ansett sig böra påföra rörelsen någon ränta.</w:t>
        <w:br/>
        <w:br/>
        <w:t>De utan tvivel mycket framstående sakkunniga på jordbruksområdet, som utarbetade förslag till spannmålslagerhusfrågans ordnande, förespeglade statsmakterna ett mycket gott resultat av denna rörelse. Man sade, att när kristiden vore över, så kunde byggnaderna. försäljas och staten få igen sina pengar. Det är mycket små utsikter till, att så skall bli fallet.</w:t>
        <w:br/>
        <w:br/>
        <w:t>Uthyrningen av dessa by ggnader, som riksdagen ifrågasatt alternativt, tror Jag är en mindre lycklig utväg. Spannmålslagerhuset i Eskilstuna, som är av samma typ, tror jag, som lagerhuset i Roma, har varit uthyrt för 1,000 kronor om året, men nu har hyresgästen sagt upp kontraktet och vill inte betala mer än 500 kronor om året, detta för en anläggning, som kostar minst 750,000 kronor. Det är en för statsverket mycket dålig affär, och hyresinkomsten täcker knappast utgifterna för inspektion av byggnaden i fråga.</w:t>
        <w:br/>
        <w:br/>
        <w:t>Denna lagerhusfråga är inte uteslutande, som man skulle kunna tro, en kristidsfråga, ty den framfördes redan i början på 1900-talet, i varje fall före 1910, av hushållningssällskapen, som ansågo, att det var en livsfråga för jordbrukarna i de spannmålsproducerande provinserna att få dessa lagerhus. Det motionerades flitigt i riksdagen för att få frågan löst. Sedan utredningsfrågan fallit vid två riksdagar, framlade den Swartz'ska regeringen år 1917 proposition om inrättande av spannmålslagerhus och fryshus, och det var denna som fick ett så bedrövligt resultat. När spannmålslagerhusen kommo till, visade det sig, att något som helst intresse inte alls fanns hos de spannmålsproducerande jordbrukarna för denna nymodiga inrättning. Mönstret var hämtat från Tyskland och Österrike av några studieresande sakkunniga inom lagerhuskommittén, vilka ansågo det mycket nödvändigt att omplantera idén i svensk jordmån. Resultatet blev det sämsta tänkbara. Lagerhusoch fryshusstyrelsen har gjort ett så vitt jag kan finna erkännansvärt arbete för att försöka få ett så långt möjligt gott resultat men utan att vinna någon framgång. Så vitt jag kan se är det bästa, statsmakterna kunna göra, att försöka sälja byggnaderna så snart ske kan för bästa möjliga pris, helst så mycket, herr statsråd, att vi kunna få igen vad vi givit ut för ritningarna. Längre tror jag inte, att vi kunna sträcka förhoppningarna.</w:t>
        <w:br/>
        <w:br/>
        <w:t>Jag har intet annat yrkande än om bifall till utskottets hemställan.</w:t>
        <w:br/>
        <w:br/>
        <w:t xml:space="preserve">Rättighet att vid allmän rådstuga deltaga i överläggningar och beslut i alla de staden rörande angelägenheter, vilka icke enligt rikets grundlagar eller särskilda författtningar äro vissa klasser av stadens medlemmer förbehållna, tillkommer envar inom kommunen mantalsskriven man eller </w:t>
      </w:r>
      <w:r>
        <w:rPr>
          <w:b/>
        </w:rPr>
        <w:t>kvinna¹</w:t>
      </w:r>
      <w:r>
        <w:rPr>
          <w:b w:val="0"/>
        </w:rPr>
        <w:t>, som är svensk</w:t>
      </w:r>
    </w:p>
    <w:p>
      <w:pPr>
        <w:pStyle w:val="Heading2"/>
      </w:pPr>
      <w:r>
        <w:t>2. Gustaf Strömberg (Socialdemokraterna, man)</w:t>
      </w:r>
    </w:p>
    <w:p>
      <w:r>
        <w:rPr>
          <w:b w:val="0"/>
        </w:rPr>
        <w:t>Herr talman, mina herrar! De motioner, över vilka konstitutionsutskottet här avgivit utlåtande, äro, som man brukar säga, gamla bekanta sedan de närmast föregående åren. I den ena motionen, som härleder sig ifrån kommunistiskt håll, yrkas på rösträttsålderns sänkning till 20 år, i den andra, som är framburen av en socialdemokratisk representant i andra kammaren, föreslås, att samma ålder sänkes till 21 år.</w:t>
        <w:br/>
        <w:br/>
        <w:t>Utskottet har avstyrkt båda dessa motioner under framhållande av, att frå- Om sänkning.</w:t>
        <w:br/>
        <w:br/>
        <w:t>försvaras, säger utskottet, och i fråga om den tjugusjuårsgräns, som stadgas i fråga om rösträtten vid elektorsoch landstingsmannaval finner utskottet, att det är en av de bestämmelser, som bidraga till upprätthållandet av en viss artskillnad mellan första och andra kammaren.</w:t>
        <w:br/>
        <w:br/>
        <w:t xml:space="preserve">Samtliga socialdemokrater inom utskottet ha emellertid en något annan syn på denna sak än utskottets majoritet. Vårt parti har allt ifrån början gått in för en lösning av denna författningsfråga enligt regeln om allmän, lika och direkt rösträtt för män och </w:t>
      </w:r>
      <w:r>
        <w:rPr>
          <w:b/>
        </w:rPr>
        <w:t>kvinnor¹</w:t>
      </w:r>
      <w:r>
        <w:rPr>
          <w:b w:val="0"/>
        </w:rPr>
        <w:t xml:space="preserve"> vid fyllda 21 år. Myndighetsåldern har alltid ansetts som en naturlig och given gräns. Vid fyllda 21 år får den enskilde råda över sig själv och sitt gods, och vi kunna verkligen icke riktigt fatta, varför tjugutreårsåldern skulle vara den oomtvistat rätta åldern. Det är väl så, att det 1918 blev en kompromiss, som stannade där, men därför behöver ju inte den åldern vara mera riktig såsom politisk myndighetsålder än tjuguettårsåldern. Hos ungdomen vaknar i ganska stor utsträckning det politiska intresset ganska tidigt, och jag kan inte se någon olycka i en lagstiftning, som medger rätt för varje till myndig ålder kommen man och </w:t>
      </w:r>
      <w:r>
        <w:rPr>
          <w:b/>
        </w:rPr>
        <w:t>kvinna¹</w:t>
      </w:r>
      <w:r>
        <w:rPr>
          <w:b w:val="0"/>
        </w:rPr>
        <w:t xml:space="preserve"> att deltaga i valen och få rätt att lägga sin röst för den representant, som bäst motsvarar hans ideal och uppfattning i samhällsfrågorna.</w:t>
        <w:br/>
        <w:br/>
        <w:t>Vad utskottet åberopar som skäl emot tjugusjuårsgränsens sänkning ha vi inte heller funnit så värst bärande. Att man strävar att bibehålla den artskillnad, som nu finns mellan kamrarna, kan man ju mycket väl förstå, ty man finner ju, att det är denna artskillnad, som ytterst skänker åt första kammaren dess högre grad av konservatism. Första kammaren blir sannolikt aldrig enligt dessa bestämmelser ett uttryck för uppfattningen hos folkets stora flertal. Men detta är ju ett politiskt skäl, och på det skall jag i detta sammanhang icke närmare ingå.</w:t>
        <w:br/>
        <w:br/>
        <w:t>Redan vid antagandet av 1918 års författningsreform gav vårt parti till känna, att vi icke uppgivit vårt gamla krav för ungdomens rätt och för rösträttsålderns sänkning. Det är egentligen detta, vi reservanter velat understryka med denna vår reservation. Vi förstå mycket väl, att vi inte nu äro redo att få denna reform antagen och att frågan inte heller är tillräckligt förberedd, men att, såsom herr Bergström i sin reservation vill göra gällande, den ovillkorligen skulle föras fram i en valrörelse och att en regering, framsprungen ur ett sådant val, ensam skulle ha rätt att framföra frågan, den uppfattningen kunna vi icke dela. Här föreligga förslag från enskilda riksdagsmän, och det är både vår rätt och vår plikt att taga ståndpunkt till desamma. Vi få göra detta med utgångspunkt från vårt eget omdöme och vår egen ställning i själva sakfrågan.</w:t>
        <w:br/>
        <w:br/>
        <w:t>Det är egentligen detta, som här har skett. WVi ha markerat vår principiella ståndpunkt till detta gamla krav, och utan att närmare ingå på detta ber jag, herr talman, att i korthet få yrka bifall till den reservation, som i denna punkt är avgiven av herr Sävström m. fl.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487</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