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495</w:t>
      </w:r>
    </w:p>
    <w:p>
      <w:r>
        <w:rPr>
          <w:b/>
        </w:rPr>
        <w:t xml:space="preserve">Datum: </w:t>
      </w:r>
      <w:r>
        <w:t>1925-05-16</w:t>
      </w:r>
    </w:p>
    <w:p>
      <w:r>
        <w:rPr>
          <w:b/>
        </w:rPr>
        <w:t xml:space="preserve">Kammare: </w:t>
      </w:r>
      <w:r>
        <w:t>Första kammaren</w:t>
      </w:r>
    </w:p>
    <w:p>
      <w:r>
        <w:rPr>
          <w:b/>
        </w:rPr>
        <w:t xml:space="preserve">Antal yttranden: </w:t>
      </w:r>
      <w:r>
        <w:t>2</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Oscar Olsson (Socialdemokraterna, man)</w:t>
      </w:r>
    </w:p>
    <w:p>
      <w:r>
        <w:rPr>
          <w:b w:val="0"/>
        </w:rPr>
        <w:t>Vad den föregående ärade talaren sade, låter ju säga sig. Det är alldeles naturligt, att något sådant kan gå för sig, men den saken har ju varit på tal förut, när vi diskuterade frågan om rektors och föreståndarinnas tjänstgöringsskyldighet, och jag kan icke förstå annat, än att om riksdagen följde reservanten i denna punkt, så betydde det strängt taget ett upphävande av vad riksdagen förut beslutat. Om detta också icke vore fallet direkt, skulle det ändå innebära ett frånträdande av den ståndpunkt, som riksdagen principiellt fastslog i och med att riksdagen gick med på utskottets förslag.</w:t>
        <w:br/>
        <w:br/>
        <w:t>Detta är den ena sidan av saken. Sedan tillkommer det en annan. Det är ju meningen, att under den närmaste tiden förslaget om omorganisation av vårt skolväsen skall framläggas, och det ser väl ändå ut som tårta på tårta, om vi nu besluta här i riksdagen att begära en ny utredning, innan man avslutat den pågående. Sådant har icke första kammaren brukat göra i forna dagar, och,</w:t>
        <w:br/>
        <w:br/>
        <w:t>herr talman, jag tycker icke, att första kammaren skall införa en sådan ny sed Ang. tjänst</w:t>
        <w:br/>
        <w:br/>
        <w:t>vid detta tillfälle. | akeen för Jag ber därför att få yrka avslag på reservationen även i denna punkt. föreståndare vid privat-</w:t>
        <w:br/>
        <w:br/>
        <w:t xml:space="preserve">»Utskottet hemställer alltså, att riksdagen må, i anledning av Kungl. Maj:ts läroverk m. m. förslag och herr Borells m. fl. samt herr Christensons m. fl. motioner I: 105 och II: 135 ävensom herr Clasons m. fl. motion I: 274, herr Mosessons motion IT: 404, herr Bengtssons i Norup motion ITI:405, herr Holmdahls m. fl. motion IT:406, herr Jonssons motion IT:388, herr Rydéns motion IT:407 och herr Almquists motion ITI:408 samt med avslag å herr Lindhagens motion I: 272 och </w:t>
      </w:r>
      <w:r>
        <w:rPr>
          <w:b/>
        </w:rPr>
        <w:t>fröken²</w:t>
      </w:r>
      <w:r>
        <w:rPr>
          <w:b w:val="0"/>
        </w:rPr>
        <w:t xml:space="preserve"> Hesselgrens motion I:273», o. s. Vv.</w:t>
      </w:r>
    </w:p>
    <w:p>
      <w:pPr>
        <w:pStyle w:val="Heading2"/>
      </w:pPr>
      <w:r>
        <w:t>2. Carl Lindhagen (–, man)</w:t>
      </w:r>
    </w:p>
    <w:p>
      <w:r>
        <w:rPr>
          <w:b w:val="0"/>
        </w:rPr>
        <w:t>TI den motion, jag tillåtit mig väcka, finnas två punkter, som icke blivit av utskottet på något som helst sätt besvarade. Jag tycker verkligen, att detta är ovanligt nonchalant av utskottet. Det skulle väl åtminstone ha yttrat ett ord om dessa två ämnen, som icke alls beröras i den kungl. propositionen och som äro av ganska stor vikt och i föregående tider också ha omfattats med intresse samt nu nyligen föranlett ett enhälligt instämmande av lärarinneförbundet här i Stockholm.</w:t>
        <w:br/>
        <w:br/>
        <w:t xml:space="preserve">Det ena förslaget är att såsom villkor för anslagen skall gälla att, till tryggande av lärarpersonalens rättsliga ställning, lärare ej må efter viss anställningstid avskedas utan skolöverstyrelsens godkännande eller i den ordning eljest kan av Kungl. Maj:t tillsvidare föreskrivas. Det ligger väl i privatskolans natur, såsom den nu blivit utvecklad till att till hälften vara en officiell skola, att den också skall kontrolleras av staten, så att lärarpersonalen får en rättsligt tryggad ställning på samma sätt som redan är fallet vid de kommunala mellanskolorna, vid statens samskolor och vid de statsunderstödda elementarläroverken. I lärarlönenämndens betänkande av den 31 maj 1918 förordades vältaligt ett sådant villkor av ledamöterna Sven Nylund och Olof Olsson, den sistnämnde för närvarande ecklesiastikminister. Jag tycker, att när man förra året och i viss mån även nu så mycket intresserat sig för </w:t>
      </w:r>
      <w:r>
        <w:rPr>
          <w:b/>
        </w:rPr>
        <w:t>lärarinnornas³</w:t>
      </w:r>
      <w:r>
        <w:rPr>
          <w:b w:val="0"/>
        </w:rPr>
        <w:t xml:space="preserve"> förpliktelser, kunde man väl också i lika mån intressera sig för deras rättigheter. I detta avseende har utskottet varit till den grad nonchalant, att det icke ens observerat, att ett sådant yrkande framställts. Jag får verkligen fråga, vad det är för slags kansli, som statsutskottet består sig med. Ty om ledamöterna på grund av sina många göromål icke observera allt, skall väl åtminstone kansliet se till, ett de motioner, som blivit väckta, också vederbörligen uppmärksammas, och de skola väl åtminstone anses förtjänta av ett avslagsyrkande med någon motivering.</w:t>
        <w:br/>
        <w:br/>
        <w:t>Det andra yrkandet är, att det såsom villkor för anslaget skall gälla, »att nuvarande privatläroverk ej må nedläggas utan Kungl. Maj:ts, eventuellt skolöverstyrelsens tillstånd». Nu är det klart, att när det gäller en statsunderstödd läroanstalt måste det allmänna även i detta hänseende hava ett ord med 1 laget. Det finnes, efter vad jag hört från flera håll, åtminstone en skola, varifrån det uttalats, att vederbörande länka lägga ned den när som helst. Ett sådant nedläggande skulle ställa hela personalen på bar backe och strandsätta ett stort antal elever. Ett dylikt förfarande med skolan bör det allmänna icke tillåta. Detta är dock mera en ny fråga, varför jag där icke kan åberopa några auktoriteter, som jag tillät mig göra beträffande den förra punkten.</w:t>
        <w:br/>
        <w:br/>
        <w:t>Även detta yrkande har nonchalerats totalt av statsutskottet och dess kanslipersonal. Jag hoppas, att något sådant icke vidare skall ifrågakomma utan att man åtminstone skall få ett hövligt skäl, där det säges, att yrkandet avslås och varför det avslås. Här blir det svårt att ange något skäl för avslag, ty hägge yrkandena äro riktiga, och det kan icke anföras några skäl, varför de icke bort tillstyrkas av statsutskottet, i all synnerhet det första.</w:t>
        <w:br/>
        <w:br/>
        <w:t>Jag hemställer, herr talman, om bifall till bägge dessa yrkanden och anhåller, att proposition framställes på vartdera yrkandet.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495</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