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1675</w:t>
      </w:r>
    </w:p>
    <w:p>
      <w:r>
        <w:rPr>
          <w:b/>
        </w:rPr>
        <w:t xml:space="preserve">Datum: </w:t>
      </w:r>
      <w:r>
        <w:t>1925-05-29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Johansson (–, man)</w:t>
      </w:r>
    </w:p>
    <w:p>
      <w:r>
        <w:rPr>
          <w:b w:val="0"/>
        </w:rPr>
        <w:t>Herr talman! Då jag icke kunnat biträda utskottets mening beträffande föreliggande paragraf, ber jag att med några ord få motivera min reservation på denna punkt. .</w:t>
        <w:br/>
        <w:br/>
        <w:t xml:space="preserve">Frågan gäller de </w:t>
      </w:r>
      <w:r>
        <w:rPr>
          <w:b/>
        </w:rPr>
        <w:t>kvinnliga¹</w:t>
      </w:r>
      <w:r>
        <w:rPr>
          <w:b w:val="0"/>
        </w:rPr>
        <w:t xml:space="preserve"> befattningshavarnas pensionsålder. Såväl 1921 års löneregleringskommitté som åtskilliga av de statens verk, som hörts i ärendet, ha uttalat den åsikten, att pensionsåldern för </w:t>
      </w:r>
      <w:r>
        <w:rPr>
          <w:b/>
        </w:rPr>
        <w:t>kvinnliga¹</w:t>
      </w:r>
      <w:r>
        <w:rPr>
          <w:b w:val="0"/>
        </w:rPr>
        <w:t xml:space="preserve"> befattningshavare icke borde sättas högre än till 64 år. Det är också att märka, att just de verk, där de flesta </w:t>
      </w:r>
      <w:r>
        <w:rPr>
          <w:b/>
        </w:rPr>
        <w:t>kvinnliga¹</w:t>
      </w:r>
      <w:r>
        <w:rPr>
          <w:b w:val="0"/>
        </w:rPr>
        <w:t xml:space="preserve"> befattningshavarna äro anställda, uttalat sig för denna lägre pensionsålder. Jag anser, att riksdagen bör taga hänsyn till sådana utlåtanden och ber herr talman på dessa grunder få yrka bifall till min och herr Petterssons i Olovstorp på denna punkt avgivna reservationen.</w:t>
      </w:r>
    </w:p>
    <w:p>
      <w:pPr>
        <w:pStyle w:val="Heading2"/>
      </w:pPr>
      <w:r>
        <w:t>2. Bernhard Eriksson (Socialdemokraterna, man)</w:t>
      </w:r>
    </w:p>
    <w:p>
      <w:r>
        <w:rPr>
          <w:b w:val="0"/>
        </w:rPr>
        <w:t xml:space="preserve">Herr talman! Jag skall be att få yrka bifall till utskottets förslag beträffande $ 17. Kungl. Maj:t har som bekant föreslagit 67 års pensionsålder för såväl </w:t>
      </w:r>
      <w:r>
        <w:rPr>
          <w:b/>
        </w:rPr>
        <w:t>kvinnor¹</w:t>
      </w:r>
      <w:r>
        <w:rPr>
          <w:b w:val="0"/>
        </w:rPr>
        <w:t xml:space="preserve"> som män. Det är klart, att det på denna punkt kan råda rätt stor tvekan. Jag erinrar om att Kungl. Maj:t sänkt pensionsåldern för en hel del befattningshavare, men när nu </w:t>
      </w:r>
      <w:r>
        <w:rPr>
          <w:b/>
        </w:rPr>
        <w:t>kvinnor¹</w:t>
      </w:r>
      <w:r>
        <w:rPr>
          <w:b w:val="0"/>
        </w:rPr>
        <w:t xml:space="preserve"> skola jämställas med män i alla möjliga övriga avseenden, har såväl Kungl. Maj:t som utskottet icke funnit skäl att för </w:t>
      </w:r>
      <w:r>
        <w:rPr>
          <w:b/>
        </w:rPr>
        <w:t>kvinnorna¹</w:t>
      </w:r>
      <w:r>
        <w:rPr>
          <w:b w:val="0"/>
        </w:rPr>
        <w:t xml:space="preserve"> införa en lägre pensionsålder, detta så mycket mindre som enligt $ 19 avsked kan meddelas en befattningshavare redan sju år före tjänstetidens slut, om anledning därtill föreligger. Jag tror, att detta icke är någon fråga att gräla om — både Kungl. Maj:t och utskottet skulle säkert taga det med ro, vare sig det beslutas det ena eller andra och det är därför icke skäl att upptaga riksdagens hårt ansträngda tid med att diskutera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