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1733</w:t>
      </w:r>
    </w:p>
    <w:p>
      <w:r>
        <w:rPr>
          <w:b/>
        </w:rPr>
        <w:t xml:space="preserve">Datum: </w:t>
      </w:r>
      <w:r>
        <w:t>1927-05-11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Hallen (Socialdemokraterna, man)</w:t>
      </w:r>
    </w:p>
    <w:p>
      <w:r>
        <w:rPr>
          <w:b w:val="0"/>
        </w:rPr>
        <w:t>Herr förste vice talman! Det som uppkallade mig i denna sena timma, var den erinran jag fick från min vän herr Bengtsson i Norup. Han ondgjorde sig över att jag tillåtit mig referera, hur en del ledamöter i utskottet hade uppträtt i denna fråga, och då särskilt över mitt referat av en av mina utskottskamrater, herr Österström i första kammaren. Jag vädjar emellertid till såväl kammaren som framförallt samtliga utskottsledamöter, huruvida någonting, som jag yttrade om hans uppträdande, icke skulle vara med sanningen överensstämmande. Jag konstaterade endast vad faktiskt är, nämligen att han med en natts mellanrum fullständigt hade ändrat ståndpunkt. Om nu någon tycker, att det är någon slags indiskretion att referera sådana saker, så svarar jag att det är dock en lämplighetssak, om man vill göra det eller inte, och då mitt referat fullt överensstämmer med sanningen och det var värdefullt som en belysning av det sätt, varpå det hade manövrerats i utskottet, så ansåg jag mig fullt befogad att göra det.</w:t>
        <w:br/>
        <w:br/>
        <w:t>Jag vill sluta med att erinra om att den enda verkligt konsekvente i denna fråga inom utskottet var herr Österström. Jag tror, att han skilt sig från målet med betydligt större heder än åtskilliga andra.</w:t>
        <w:br/>
        <w:br/>
        <w:t>Herr Bengtsson i Norup tillät sig också att såtillvida representera en slags förstärkning till den biskopliga uppsikten över kyrkans tjänare, och jag är honom tacksam för att han uttalade sina betänkligheter över att jag hade brukat Skriftens ord i ett olämpligt sammanhang. Nå, den frågan få vi pröva var för sig. Så mycket vill jag dock ha sagt till herr Bengtsson i Norup, att bli icke Skriftens ord värre missbrukade än så i vårt land, då få både herr Bengtsson och jag vara tacksamma.</w:t>
        <w:br/>
        <w:br/>
        <w:t>Då hans excellens herr statsministern i anledning av mitt erkännande av att anmärkningen ingalunda åsyftade någon prickning av justitieministern, utan att den åsyftade den frisinnade partipolitiken, förklarade, att utgångspunkten för dagens anmärkning var det politiska syftet att anmärka på regeringen, så föreligger här ett missförstånd. Utgångspunkten är icke den, herr statsminister, utan utgångspunkten är fjolårets politiska anmärkning. Hade denna icke varit, så hade antagligen det som i dag utspelas, icke kommit att äga rum. Den irriterade stämning, som här råder, torde väl ha sin grund i såväl dagens debatt som ock i jobsposterna, som strömma in.</w:t>
        <w:br/>
        <w:br/>
        <w:t xml:space="preserve">På grund av att man vid fjolårets dechargedebatt lät sina anmärkningar ledas av rent politiska motiv tillåter jag mig, att trots herr Bengtssons erinran sluta med ännu ett Skriftens ord: »Vad en människa sår, det skall </w:t>
      </w:r>
      <w:r>
        <w:rPr>
          <w:b/>
        </w:rPr>
        <w:t>hon²</w:t>
      </w:r>
      <w:r>
        <w:rPr>
          <w:b w:val="0"/>
        </w:rPr>
        <w:t xml:space="preserve"> ock uppskära».</w:t>
      </w:r>
    </w:p>
    <w:p>
      <w:pPr>
        <w:pStyle w:val="Heading2"/>
      </w:pPr>
      <w:r>
        <w:t>2. August Spångberg (Sveriges kommunistiska parti, man)</w:t>
      </w:r>
    </w:p>
    <w:p>
      <w:r>
        <w:rPr>
          <w:b w:val="0"/>
        </w:rPr>
        <w:t>Jag vill, herr talman, i anledning av ett yttrande av herr Engberg, där han tycktes mena att det var för reklamens skull, som vi kommunister utsände dessa flygblad och att dessa ej skulle vara allvarligt menade, säga, att vi begagna oss från kommunistiskt håll av den frihet, vi verkligen ha, för att sprida våra idéer. Jag tror inte vi behöva fråga herr Engberg om lov till den saken. Jag tror andra partier begagna precis samma rätt. Vi ha icke från vårt håll tiggt om något åtal, men vi ha också sagt ifrån, att</w:t>
        <w:br/>
        <w:br/>
        <w:t>om herrarna ålägga en eller annan kommunist eller hur många som helst förresten straff, så komma vi ändå att fortsätta; och utvecklingen kommer säkert att gå dithän, att man icke kan hindra, att de idéer, som vi i dag sprida, komma att spridas även i fortsättningen. Men jag tvivlar på att herr Engberg, då han hetsar mot kommunisterna och då han inom utskottet har medverkat till att mot justitieministern har framlagts denna anmärkning, att han bort åtala de kommunistiska skrifterna, jag tvivlar på, att herr Engberg vid de tillfällena har förestavats av någon het önskan att göra reklam för det kommunistiska partiet.</w:t>
        <w:br/>
        <w:br/>
        <w:t>Herr Engberg talade vidare om kommunisternas ställning då det gäller att »göra revolution» i Sverige o. s. v. Ja, jag må säga, att det är ett underligt tal detta från en socialist. Jag skulle vilja fråga herr Engberg: Vem »gjorde» revolutionen i Frankrike 1789? Vem »gjorde» revolutionen i Frankrike 1830? Vem »gjorde» revolutionen i Frankrike 1848? Vem »gjorde» revolutionerna i England? Vem »gjorde» revolutionen i Ryssland 1905? Vem »gjorde» revolutionen i Ryssland 1917? Och så vidare. Så vitt jag förstår, har ingen särskild »gjort» dessa revolutioner, herr Engberg, och jag vet icke av något historiskt exempel på att någon »gjort» någon revolution. Ändock ha dessa utbrutit vid vissa tillfällen. Dithän kan det gå ibland, att det utbryter revolutioner; historien är full av sådana exempel, och dithän kan det även, herr Engberg, gå i Sverige.</w:t>
        <w:br/>
        <w:br/>
        <w:t>Emellertid, detta tal om att »den eller de har uraktlåtit att göra en revolution» eller »den enda revolution den eller de har gjort», må vara ett betyg åt herr Engberg såsom marxist. Det skall vara socialister av herr Engbergs art, som skola tala om att man skall »göra revolution».</w:t>
      </w:r>
    </w:p>
    <w:p>
      <w:pPr>
        <w:pStyle w:val="Heading2"/>
      </w:pPr>
      <w:r>
        <w:t>3. Arthur Engberg (Socialdemokraterna, man)</w:t>
      </w:r>
    </w:p>
    <w:p>
      <w:r>
        <w:rPr>
          <w:b w:val="0"/>
        </w:rPr>
        <w:t>Herr förste vice talman! Jag begärde inte ordet för att svara den senaste ärade talaren, utan för att ingå i svaromål på det anförande, som vid denna sena tidpunkt hölls från statsrådsbänken. När jag hörde hans excellens” anförande, var det nästan som om vi kommit till den punkt i en tjurfäktning, där picadorerna fyllt sitt värv och man väntar på toreadoren. Jag gör inte anspråk på att föra toreadorens florett gentemot hans excellens statsministern, utan jag sällar mig, även jag, till picadorernas skara, men kanske inte för att reta tjuren, som det brukar heta, utan endast för att svara på ett par punkter, som hans excellens påpekade.</w:t>
        <w:br/>
        <w:br/>
        <w:t>Jag vill då erinra hans excellens statsministern därom, att då han beskyllde oss för bristande förmåga att göra distinktioner mellan de fall, som föreligga här i konstitutionsutskottets betänkande i år, och de fall, som förelågo i fjol, så drabbar denna anmärkning med besvärande tyngd hans egen partivän i första kammaren, herr Österström, som måtte så till vida dela vår förmörkelse med hänsyn till intelligensen, att även han har funnit, att det fall, som föreligger vid 1927 års riksdag, är identiskt med det, som förelåg vid 1926 års riksdag. Hans excellens herr statsministern borde kanske därför närmast pröva sin energi på herr Österström i första kammaren, ty om han icke kan lyckas omvända de egna, bör det vara ganska förtvivlat att söka omvända högerns eller socialdemokraternas representanter här i kammaren.</w:t>
        <w:br/>
        <w:br/>
        <w:t>Jag skall därefter övergå till att i största korthet besvara de anmärkningar, som hans excellens framställt. Han behagade för det första säga, att jag har en intim vän, som heter »Hagalunds-Kalle». Jag ber att få fästa uppmärksamheten på att hans excellens tydligen icke har reda på det aktstycke, som justitieministern har överantvardat till åtal. Det är nämligen en av dessa enskilda av herr statsministern i fjolårets förstakammardebatt såsom entusiastiska betecknade personer, som givit ut detta upprop. Det finnes ingen organisation antecknad under uppropet utan endast pseudonymen för någon, som</w:t>
        <w:br/>
        <w:br/>
        <w:t>jag icke alls känner, och som kallar sig för »Hagalunds-Kalle». Detta namn Ang. står under uppropet. Men man behöver icke läsa mera än uppropet och ha felbordag vetskap om, att det publicerats i tidningen Brand för att förstå, vilken åskåd- STADEN ning, som ligger bakom. Det hela har icke med socialdemokraterna att göra, protokollen. och det är en ren anarko-socialistisk uppfattning, som ligger bakom uppropet. (Forts.)</w:t>
        <w:br/>
        <w:br/>
        <w:t>Men nu säger herr statsministern, och det är det, som för mig är det viktigaste, att det, som enligt hans uppfattning konstituerar brottsligheten, är förhandenvaron av de två momenten för det första målmedveten propaganda och för det andra en fast konstituerad grupp bakom denna propaganda. Hans excellens behagade uppmärksamma att just dessa två moment existera i dessa skrifter. Om han slår upp konstitutionsutskottets memorial, skall han finna, att den fasta organisation, som står som undertecknare av den ena skriften är Sveriges kommunistiska ungdomsförbund. Hans excellens torde erkänna, att detta förbund är en fast organisation. Går jag till den andra skriften så förhåller det sig ju så, att den visserligen icke är undertecknad, men den är publicerad på första sidan i nämnda kommunistiska organ i gestaltning av ett stort manifest, vadan man tryggt kan utgå ifrån att även denna skrifts utgivare har en fast organisation bakom sig. Detta beträffande andra momentet.</w:t>
        <w:br/>
        <w:br/>
        <w:t>Beträffande första momentet krävde han, för att kunna anse brottsligheten konstituerad, att det — och det är att märka, att han betonade detta — skulle vara en målmedveten propaganda. Jag vill ännu en gång liva upp hans excellens” minne. Det står ju här på sid. 6 i konstitutionsutskottets memorial återgivet, hurusom det gäller att »genomsyra hela borgarnas armé och flotta med revolutionär propaganda och organisation. Varje arbetarsoldat måste vara på det klara med hur han skall uppträda, han måste veta åt vilket håll han skall rikta geväret i en allvarlig situation. Då har han andra intressen o. s. v.» Sedan går jag över till den andra skriften. Där heter det:</w:t>
        <w:br/>
        <w:br/>
        <w:t>»Därför gäller det framför allt att bryta sönder denna järndisciplin, att genomsyra hela borgararmén med revolutionär propaganda och organisation. Hälsingepojkarna gav nyss ett ståtligt exempel på att man snabbt kan nå resultat med enigt och solidariskt uppträdande. Se till att denna upplösningens anda går djupt ned i borgararmén. Se till att pojkarna lär sig bruka vapnen, inte 1 avsikt att vända dem mot sina klasskamrater i detta eller något annat land, men för den egna klassens uppgörelse med förtryckarna. Gör vi allt detta metodiskt och målmedvetet&gt; — »metodiskt och målmedvetet», orden nämnes där, herr statsminister — »då kan det bli någon mening till och med i en fältmanöver».</w:t>
        <w:br/>
        <w:br/>
        <w:t>Jag vädjar till varje människa i denna kammare, som tänker sunt och logiskt, om man icke här finner precis de två moment, som hans excellens krävde som konstitutiva moment för att betrakta den här propagandan såsom en hans synpunkt av samma brottsliga natur, som han fann den omtalade soldatinstruktionen.</w:t>
        <w:br/>
        <w:br/>
        <w:t>Sedan gick hans excellens över till att fråga, hur jag kan få vissa saker att hänga ihop. Han säger, att jag ibland hävdat den absoluta avhållsamheten beträffande dylika åtal, men att jag dock också hävdat att diskretionär prövning skall äga rum. Jag ber att få fästa hans excellens uppmärksamhet på att jag ingenstädes har uttryckt mig på detta sätt. Jag trotsar, att någon av kammarens ledamöter har fått den uppfattningen, att jag icke ansett att fall kunna föreligga, där det kan hända att åtal vore påkallat. Men vad jag sagt. det är att åtal måste vila på en diskretionär prövning och, låt mig tillägga det, givetvis måste bero på de omständigheter, som föreligga.</w:t>
        <w:br/>
        <w:br/>
        <w:t>Om jag tar upp något till granskning mellanhavandet mellan justitieministern och, för att använda herr statsministerns uttryck, »min vän Hagalunds-</w:t>
        <w:br/>
        <w:br/>
        <w:t>kalle», hur förhåller det sig då? Mitt under djupaste fred, höll jag på att säga, någon gång 1 februari månad utfärdade en ensam man, »Hagalundskalle», ett pacifistiskt manifest. Det fanns vid denna tidpunkt inga som helst oroande omständigheter. Inga skärpta sociala akuta kriser pågingo —, om de inte kanske skulle ligga däri, att Stockholms stad förberedde sig till stadsfullmäktigeval. Det förefanns ingen atmosfär av det slaget, att det skulle kunna föranleda en blixt från justitieministerns himmel. Den justitieminister, som icke tager minsta hänsyn till att det skall föreligga vissa omständigheter, för att ett utslungat ord skall kunna bli, visserligen icke en orsak, men den anledning, som utlöser en hel serie av orsakssammanhang, kan rimligtvis icke bedöma dessa ting, som de förnuftigtvis måste bedömas.</w:t>
        <w:br/>
        <w:br/>
        <w:t>För det andra gör herr statsministern gällande, att det råder en bestämd skillnad mellan att skriva »genomsyra med revolutionär propaganda» och »rasera mordverktygen», och att man icke kan hävda, att det är samma saker. Han anser därför, att justitieministern hade rätt, när han åtalade, vad »Hagalundskalle» hade skrivit, och att han likaså hade rätt, när han icke åtalade de skrifter, som återgivits i konstitutionsutskottets utlåtande. Jag vill fråga, om en man, som i likhet med nuvarande statsministern har ett ganska utpräglat sinne åtminstone för den formella logikens fordringar, kan upprätthålla denna åtskillnad, om han lägger sida vid sida med varandra, å ena sidan, dessa skrifter, som gå ut på vissa uppmaningar i samband med fältmanöver och därmed sammanhängande saker och på uppmaningar att upplösa disciplinen i sammanhang med pågående manöver samt å andra sidan, vad »Hagalundskalle» skrivit om en rasering av mordverktygen, jag frågar, om man verkligen kan vara av den meningen, att den ena uppmaningen, nämligen att man skall bedriva målmedveten propaganda för att genomsyra armén och flottan skall lämnas oanmärkt, medan man skall slå ned på »Hagalundskalles» pacifistiska upprop. Kan man verkligen finna något rimligt sammanhang i detta?</w:t>
        <w:br/>
        <w:br/>
        <w:t xml:space="preserve">Vidare säger herr statsministern att justitieministern rensat ut de hypotetiska fallen och behandlar dem för sig själv. De fall, som konstitutionsutskottet framlagt, nämligen skriften innehållande uppmaningar i sammanhang med fältmanöver skulle vara ett hypotetiskt fall, likaså det fallet att jag riktar en uppmaning till dem, som deltaga i en fältmanöver, att sönderbryta och sönderfräta disciplinen. Där skall man icke åtala, säger herr statsministern, ty man skall icke slå ned i de fall, som äro hypotetiska. Jag skall taga ett exempel. I första kammaren nämnde justitieministern det exemplet, att en författare skriver i sin bok, att om din </w:t>
      </w:r>
      <w:r>
        <w:rPr>
          <w:b/>
        </w:rPr>
        <w:t>hustru²</w:t>
      </w:r>
      <w:r>
        <w:rPr>
          <w:b w:val="0"/>
        </w:rPr>
        <w:t xml:space="preserve"> är dig otrogen, så slå ihjäl </w:t>
      </w:r>
      <w:r>
        <w:rPr>
          <w:b/>
        </w:rPr>
        <w:t>henne²</w:t>
      </w:r>
      <w:r>
        <w:rPr>
          <w:b w:val="0"/>
        </w:rPr>
        <w:t xml:space="preserve">. Han vädjade till kammaren, huruvida det i anledning av ett dylikt skrivsätt skulle bli åtal. Själv ansåg han, att åtal icke skulle kunna ifrågakomma i ett sådant fall. Däremot ansåg han, att om man har ett sådant fall som »Hagalundskalle», som skriver, att man skall rasera mordverktygen, då är det ett konkret exempel, en direkt uppmaning till brottslig gärning. Jag vill fråga justitieministern. Antag att ett organ riktar en uppmaning till en chaufför, att han skall köra över den, som möter till höger i stället för att möta till vänster. Hur skulle justitieministern ställa sig till ett sådant exempel? Det är också i herr justitieministerns mening hypotetiskt och en fullständig parallell med exemplet beträffande den otrogna </w:t>
      </w:r>
      <w:r>
        <w:rPr>
          <w:b/>
        </w:rPr>
        <w:t>hustrun²</w:t>
      </w:r>
      <w:r>
        <w:rPr>
          <w:b w:val="0"/>
        </w:rPr>
        <w:t xml:space="preserve">. För mitt sätt att se skulle en sådan uppmaning stå på samma plan, som fallet rörande den otrogna </w:t>
      </w:r>
      <w:r>
        <w:rPr>
          <w:b/>
        </w:rPr>
        <w:t>hustrun²</w:t>
      </w:r>
      <w:r>
        <w:rPr>
          <w:b w:val="0"/>
        </w:rPr>
        <w:t>. Men att betrakta dylika fall som oantastliga men stämpla som brottsliga »Hagalundskalles» ord, utslungade i världsrymden, om att man skall »rasera mordverktygen», begriper jag icke. Det där urskiljandet av de hypotetiska fallen, som herr statsministern tyckte var ett skickligt schackdrag, har jag icke kunnat uppskatta!</w:t>
        <w:br/>
        <w:br/>
        <w:t>Så säger han till sist. Man måste ha gränser och klara linjer i detta; det är vad vi folkfrisinnade ha i denna fråga. Ja, det är svårt, herr statsminister,</w:t>
        <w:br/>
        <w:br/>
        <w:t>att icke skriva en satir inför detta uttalande, när jag tänker på de där klara linjerna, som vi ha bevittnat i denna fråga från år 1926, då den togs upp av David Bergström i konstitutionsutskottet, till den dag, som i dag är. När jag bevittnat, hur statsoch handelsministrarna uppträdde i denna fråga i fjol, och hör, hur man från det hållet uppträder i år och hur man fäller det omdömet, att de i denna fråga följt klara linjer och dragit klara gränser, får jag verkligen säga, att det går väl långt. Ty hur de folkfrisinnade än i denna fråga uppträtt, men sannerligen deras uppträdande kännetecknats av några klara linjer.</w:t>
        <w:br/>
        <w:br/>
        <w:t>Hans excellens må påstå hur mycket som helst, att han punkt för punkt står kvar på sin fjolårsståndpunkt, men då det i hans fjolårsanförande stod, att han icke ville vara med om åtal, när det gällde en enskild man, en entusiast för sin sak, som utfärdar vissa uppmaningar, men däremot vore böjd för åtal, när det vore fråga om skrifter, bakom vilka fanns en målmedveten, fast propaganda med fast organisation bakom, då han alltså gillar, att justitieministern åtalar i det fallet, då man har en typisk entusiast såsom »Hagalundskalle», men däremot icke åtalar i det fallet, då man har den typiska ordnade propagandan med en organisation särskilt till för detta ändamål, ja då får jag säga, att det är omöjligt för mig att tro honom på hans ord, att han står kvar punkt för punkt på den ståndpunkt han intog i fjol.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