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549</w:t>
      </w:r>
    </w:p>
    <w:p>
      <w:r>
        <w:rPr>
          <w:b/>
        </w:rPr>
        <w:t xml:space="preserve">Datum: </w:t>
      </w:r>
      <w:r>
        <w:t>1928-03-02</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Wilhelm Björck (Socialdemokraterna, man)</w:t>
      </w:r>
    </w:p>
    <w:p>
      <w:r>
        <w:rPr>
          <w:b w:val="0"/>
        </w:rPr>
        <w:t>Herr talman! Jag kan icke låta detta tillfälle gå förbi utan att framställa några randanmärkningar till Kungl. Maj:ts proposition nr 116. Den är i åtskilliga avseenden uppseendeväckande, man skulle kanske rentav kunna våga det påståendet, att den ur riksdagssynpunkt är tämligen enastående. Det kan emellertid av lätt begripliga skäl icke i denna stund ifrågakomma att inlåta sig på en detaljgranskning av ett så pass vittspännande förslag, som det föreliggande onekligen är, men det må tillåtas mig att med herr talmannens medgivande mot detsamma rikta ett par huvudanmärkningar, som gälla rent grundläggande, principiella ting.</w:t>
        <w:br/>
        <w:br/>
        <w:t xml:space="preserve">Den föreliggande frågan är ju icke ny för kammaren. Den har sin förhistoria, om än en relativt kort sådan. Den sidan har emellertid föredragande departementschefen berört med en alldeles ovanligt lätt hand. Ingen, som läser propositionen, det må ske med aldrig så stor uppmärksamhet och noggrannhet, får en föreställning om att det här gäller en fråga, till vilken riksdagen redan har tagit ställning i grundläggande punkter. De sakkunniga, som hava verkställt det förberedande utredningsarbetet och vilka ju av allt att döma av departementschefen utvalts med särskild tanke på att värvet skulle fullgöras utan alltför stor välvilja mot det verk, som 1927 års riksdag utfört, ha Ju haft tillfälle att med ledning av riksdagens skrivelse pröva vad riksdagen kan ha haft för intentioner med sitt knäsättande av den kommunala </w:t>
      </w:r>
      <w:r>
        <w:rPr>
          <w:b/>
        </w:rPr>
        <w:t>flickskolan²</w:t>
      </w:r>
      <w:r>
        <w:rPr>
          <w:b w:val="0"/>
        </w:rPr>
        <w:t xml:space="preserve">. Och det egendomligaste av allt är, att departementschefen själv i den proposition till 1927 års riksdag, som anmärkningsvärt nog bär samma nummer som den nu förevarande, givit en skiss av hur han tänkte sig dessa kommunala </w:t>
      </w:r>
      <w:r>
        <w:rPr>
          <w:b/>
        </w:rPr>
        <w:t>flickskolor²</w:t>
      </w:r>
      <w:r>
        <w:rPr>
          <w:b w:val="0"/>
        </w:rPr>
        <w:t xml:space="preserve"> anordnade i principiellt betydelsefulla avseenden. Detta senare sakförhållande finner man visserligen i korthet berört i propositionen. Och jag vill erinra om att departementschefen år 1927 uttalade, att om en organisation med kommunala </w:t>
      </w:r>
      <w:r>
        <w:rPr>
          <w:b/>
        </w:rPr>
        <w:t>flickskolor²</w:t>
      </w:r>
      <w:r>
        <w:rPr>
          <w:b w:val="0"/>
        </w:rPr>
        <w:t xml:space="preserve"> komme till stånd, »densamma i stor utsträckning måste bliva överensstämmande med de kommunala mellanskolorna»-. Tfrågavarande skolor borde alltså bygga på genomgången sexårig folkskola, och kommunen skulle ansvara för skolans bestånd samt besluta om dess ekonomiska förhållanden. Jag vill här alldeles särskilt trycka på att skolorna förutsattes bygga på genomgången sexårig folkskola. Samma grundsats tillämpades också i den motion, framburen i denna kammare av herr Möller, vari den kommunala </w:t>
      </w:r>
      <w:r>
        <w:rPr>
          <w:b/>
        </w:rPr>
        <w:t>flickskolan²</w:t>
      </w:r>
      <w:r>
        <w:rPr>
          <w:b w:val="0"/>
        </w:rPr>
        <w:t xml:space="preserve"> närmare utformades under framställande av ett positivt förslag om anslag för ändamålet redan å årets budget. Riksdagen gillade i enlighet med utskottets hemställan dessa grundsatser och uttalade för säkerhets skull i klämmen, att förslag borde framläggas till 1928 års riksdag »med beaktande av de synpunkter riksdagen anfört». TI riksdagsskrivelsen finner man också, att riksdagen förklarar sig intet hava att erinra mot en tillämpning i huvudsak av de allmänna grundlinjer för den kommunala </w:t>
      </w:r>
      <w:r>
        <w:rPr>
          <w:b/>
        </w:rPr>
        <w:t>flickskolans²</w:t>
      </w:r>
      <w:r>
        <w:rPr>
          <w:b w:val="0"/>
        </w:rPr>
        <w:t xml:space="preserve"> organisation m. m., som angivits såväl av departementischefen som av motionärerna.</w:t>
        <w:br/>
        <w:br/>
        <w:t>Departementschefen måste nu tydligen alldeles ha glömt bort denna förhistoria, liksom han också uppenbarligen förbisett den i det bekanta 18 juni-cirkuläret, ty där har han uteslutit de betydelsefulla orden »med beaktande av de synpunkter riksdagen här ovan anfört». I varje fall har det icke befunnits opportunt att tala därom i det sammanhang, som nu föreligger, ty på sid. 19 i propositionen, där departementschefen uppehåller sig vid den principiellt betydelsefulla anknytningsfrågan, har riksdagsepisoden alldeles försvunnit. Man finner icke med ett ord omnämnt, att riksdagen haft denna sak under prövning och därvid stannat för en alldeles bestämd ståndpunkt. Jag måste säga, att en djärvare och mer halsbrytande omkastning i tänkesättet än vad som där möter, kommer mycket sällan till synes i Kungl. Maj:ts propositioner. Man får leta efter ett sådant konststycke, och jag tror, att lite var skall nödgas erkänna, att en sådan ekvilibristik är ägnad att verka överraskande, även om man tager i betraktande, att den härstammar från en i den politiska balansgångens teknik så förfaren regering som den nuvarande. Det är logiken, som härvidlag i främsta rummet frapperar. »Därför», säger departementschefen — jag översätter det något fritt — »att 1927 års riksdag radikaliserade min skolproposition, bjuder situationen, att jag icke bara löper från min egen uttryckligen hävdade ståndpunkt utan också att jag behandlar som luft de principbeslut, som samma riksdag samtidigt fattade i just denna fråga».</w:t>
        <w:br/>
        <w:br/>
        <w:t>Det må tillåtas mig den enkla frågan, om icke även riksdagen var lika medveten om vad den i maj 1927 gjorde som herr statsrådet och chefen för</w:t>
        <w:br/>
        <w:br/>
        <w:t>ecklesiastikdepartementet då var och nu är. Och rent mänskligt: finns det någon reson i detta, att därför att riksdagen tar ett steg till vänster om Kungl. Maj:t, Kungl. Maj:t ett år senare skall taga ett steg till höger? Det är kanhända det allra nyaste utslaget av den riksbekanta vågmästarpolitiken, som man här står inför.</w:t>
        <w:br/>
        <w:br/>
        <w:t xml:space="preserve">Det föreliggande ärendet har emellertid ingalunda karaktären av en herr statsrådets och chefens för ecklesiastikdepartementet privata angelägenhet. Enskilt må det tillåtas en departementschef att utföra vilka logiska saltomortaler som helst, men vid handhavandet av de angelägenheter, där riksdagen är part. bjuder onekligen anständigheten, att riksdagens bud hörsammas. Det ha också de sakkunniga gjort. De ha korrekt utgått från att den segslitna frågan om anknytningen av de kommunala </w:t>
      </w:r>
      <w:r>
        <w:rPr>
          <w:b/>
        </w:rPr>
        <w:t>flickskolorna²</w:t>
      </w:r>
      <w:r>
        <w:rPr>
          <w:b w:val="0"/>
        </w:rPr>
        <w:t xml:space="preserve"> till folkskolan fick sin lösning genom det förut av mig omnämnda beslut, som fattades i våras. Skolöverstyrelsen har likaledes med samma erinran tillstyrkt förslaget i vad det gäller anknytningen. Däremot har icke någon myndighet hävdat den ståndpunkt. som departementschefen och regeringen har gjort till sin. Onekligen stå vi alltså här inför ett utslag av en självständig verksamhet från herr statsrådets och chefens för ecklesiastikdepartementets sida av nog så intressant innebörd. Förmodligen blir denna självständighet ganska väsentligt olika bedömd allt efter utsiktspunkterna. För mig och dem, som tänka lika med mig i denna sak, ter den sig närmast som ett beklagligt avfall från klart hävdade principer. På högersidan välkomnar man förmodligen med uppräckta händer en syndare. som sig omvänder och bättrar.</w:t>
        <w:br/>
        <w:br/>
        <w:t xml:space="preserve">Ingen hörde emellertid — och det vill jag särskilt taga fasta på — vid fjolårets debatter ett enda uttryck för detta ångerfulla och till bättring beredda sinnelag. När herr statsrådet och chefen för ecklesiastikdepartementet liksom hans excellens herr statsministern gingo i elden för utskottsförslaget, förnams det icke en skymt av reservation på den punkt, som det här är fråga om. Tvärtom inrymde det anförande, som hölls från statsrådsbänken av ecklesiastikministern, ett bestämt understrykande av just de synpunkter, som jag här har velat erinra om. Förhållandet var, som kammaren torde erinra sig, att Kungl. Maj:t hade föreslagit, att det vid de privata </w:t>
      </w:r>
      <w:r>
        <w:rPr>
          <w:b/>
        </w:rPr>
        <w:t>flickskolorna²</w:t>
      </w:r>
      <w:r>
        <w:rPr>
          <w:b w:val="0"/>
        </w:rPr>
        <w:t xml:space="preserve"> skulle anordnas särskilda realskolelinjer, anknutna till sjätte folkskoleklassen, i syfte att bottenskoleprincipen skulle komma i tillämpning även beträffande privatläroverken. Detta uppslag avvisades av riksdagen på utskottets hemställan, och vad som särskilt torde ha medverkat till detta ståndpunktstagande var, att de kommunala </w:t>
      </w:r>
      <w:r>
        <w:rPr>
          <w:b/>
        </w:rPr>
        <w:t>flickskolorna²</w:t>
      </w:r>
      <w:r>
        <w:rPr>
          <w:b w:val="0"/>
        </w:rPr>
        <w:t xml:space="preserve"> med rätta ansågos komma att fylla de uppgifter, som Kungl. Mai:t hade tänkt sig tillgodosedda genom de föreslagna realskolelinjerna. Från statsrådets sida uttalades under debatten en förhoppning, att de studiemöjligheter, som man genom dessa realskolelinjer avsett att bereda </w:t>
      </w:r>
      <w:r>
        <w:rPr>
          <w:b/>
        </w:rPr>
        <w:t>flickorna²</w:t>
      </w:r>
      <w:r>
        <w:rPr>
          <w:b w:val="0"/>
        </w:rPr>
        <w:t xml:space="preserve">, snarast möjligt skulle åstadkommas genom just den kommunala </w:t>
      </w:r>
      <w:r>
        <w:rPr>
          <w:b/>
        </w:rPr>
        <w:t>flickskolan²</w:t>
      </w:r>
      <w:r>
        <w:rPr>
          <w:b w:val="0"/>
        </w:rPr>
        <w:t>. Därmed erhölls alltså en uttrycklig bekräftelse på, att ecklesiastikministern den gången klart åsyftade, att dessa skolor skulle realisera bottenskoleprogrammet och att de skulle föra fram till ungefärligen samma bildningsmål som realskolan. Och statsministerns uppmärksammade anförande innehöll också en bestämd principförklaring till förmån för bottenskoletanken i dess gamla oförvanskade mening. Det är under dessa förhållanden onekligen högst överraskande, att man i den proposition nr 116, som förelagts 1928 års riksdag, icke skönjer ett enda spår av den ståndpunkt, som i otvetydiga ord deklarerades från regeringsbänken vid det tillfälle, som jag här har bragt i erinran. TI stället möter man ett system med »dubbel anknytning», som det heter formellt. Men vad innebär detta? Jo, synar man förslaget litet närmare i sömmarna, visar det sig. att medan vid 1927 års riksdag anknytning till den sexklassiga grundskolan fastslogs såsom det normala, har i denna proposition anknytningen till den fyra-</w:t>
        <w:br/>
        <w:br/>
        <w:t xml:space="preserve">klassiga grundskolan blivit den huvudform, som skall förekomma vid varje skola, och det är först, när parallellavdelningar anordnas, som dessa skola anknyta till sjätte folkskoleklassen. Nu torde emellertid, såvitt jag kan se, i relativt få fall genomgående dubbla avdelningar komma att visa sig erforderliga vid kommunala </w:t>
      </w:r>
      <w:r>
        <w:rPr>
          <w:b/>
        </w:rPr>
        <w:t>flickskolor²</w:t>
      </w:r>
      <w:r>
        <w:rPr>
          <w:b w:val="0"/>
        </w:rPr>
        <w:t>. Lärjungeantalet lägger därvidlag bestämda hinder i vägen.</w:t>
        <w:br/>
        <w:br/>
        <w:t>Men det stannar icke vid detta utan förslaget är värre än så. Landsbygdens och de fattiga stadshemmens barn, för vilka regeringen med all rätt ömmade vid 1927 års riksdag, ha nu försatts i en alldeles särskilt ogynnsam undantagsställning. De få vid de enkelklassiga skolorna ingen anknytning till avslutad folkskolekurs, men det beviljas dem i nåder rätt att stoppas in i andra klassen av den sjuklassiga skolan. Där få de under ett år följa undervisningen i alla ämnen men skola dessutom inhämta två års kunskaper i tyska. Det skall alltså föreläggas dem ett väsentligen tyngre undervisningsprogram än deras kamrater. De skola prestera detsamma som kamraterna men dessutom inhämta det försprång i tyska, som dessa vunnit genom att genomgå första klassen.</w:t>
        <w:br/>
        <w:br/>
        <w:t>Jag vill erinra om, att en principiellt alldeles likartad anordning under den föregående skoldiskussionen från många håll föreslagits såsom en sorts kompromisslösning för att undgå bottenskolan. Departementschefen hade alltså anledning att taga ståndpunkt till detta uppslag redan i fjol. Resultatet av övervägandet formulerades då i propositionen på följande sätt: »Och själva tanken att vissa lärjungar från folkskolan, måhända de ekonomiskt ogynnsammast ställda, skulle sammanföras i en särskild avdelning och under en helt visst mycket ansträngande och pressande snabbkurs bibringas nödtorftiga kunskaper för att kunna bestå inträdesprovet till läroverket, ter sig för mig föga tilltalande. Redan med hänsyn härtill har jag icke ansett lämpligt att ifrågasätta statens medverkan till anordnande av dylika övergångsklasser eller -kurser.»</w:t>
        <w:br/>
        <w:br/>
        <w:t>Det må förlåtas mig, om jag efter denna mycket kategoriska och starkt motiverade förkastelsedom blir en smula överraskad över att finna just denna klart avvisade anordning av herr statsrådet och chefen för ecklesiastikdepartementet upphöjas till ledande princip i den organisation, som föreslås i propositionen nr 116 vid 1928 års riksdag.</w:t>
        <w:br/>
        <w:br/>
        <w:t xml:space="preserve">Herr talman! Det skulle vara åtskilligt mer att säga. Man skulle kunna uppehålla sig vid spörsmålet om </w:t>
      </w:r>
      <w:r>
        <w:rPr>
          <w:b/>
        </w:rPr>
        <w:t>flickskolors²</w:t>
      </w:r>
      <w:r>
        <w:rPr>
          <w:b w:val="0"/>
        </w:rPr>
        <w:t xml:space="preserve"> anknytning till gymnasiet och därvid konstatera, att herr statsrådet och chefen för ecklesiastikdepartementet bestämt har avböjt att medverka till öppnande av ordnade övergångsmöjligheter från den kommunala </w:t>
      </w:r>
      <w:r>
        <w:rPr>
          <w:b/>
        </w:rPr>
        <w:t>flickskolan²</w:t>
      </w:r>
      <w:r>
        <w:rPr>
          <w:b w:val="0"/>
        </w:rPr>
        <w:t xml:space="preserve"> till gymnasiet. I det fallet avviker han icke blott från tidigare hävdade grundsatser utan också från vad som hittills tillämpats. Ty den högre </w:t>
      </w:r>
      <w:r>
        <w:rPr>
          <w:b/>
        </w:rPr>
        <w:t>flickskolan²</w:t>
      </w:r>
      <w:r>
        <w:rPr>
          <w:b w:val="0"/>
        </w:rPr>
        <w:t xml:space="preserve"> har i mycket hög grad anpassat sina kurser så, att dess lärjungar från sjätte eller sjunde klassen skulle kunna utan kompletterande studier fortsätta fram till studentexamen. För mig framstår det som en fundamental fordran på </w:t>
      </w:r>
      <w:r>
        <w:rPr>
          <w:b/>
        </w:rPr>
        <w:t>flickskolan²</w:t>
      </w:r>
      <w:r>
        <w:rPr>
          <w:b w:val="0"/>
        </w:rPr>
        <w:t xml:space="preserve">, om den skall kunna besökas av </w:t>
      </w:r>
      <w:r>
        <w:rPr>
          <w:b/>
        </w:rPr>
        <w:t>flickor²</w:t>
      </w:r>
      <w:r>
        <w:rPr>
          <w:b w:val="0"/>
        </w:rPr>
        <w:t xml:space="preserve"> från olika befolkningslager och med växlande intellektuell utrustning, att dylik förbindelse tillrättalägges. Ty mycket få lärjungar kunna väl från början, i detta fall vid 10—11 års ålder, inställa sig på att icke fortsätta till studentexamen. Den möjligheten vill nog en ung </w:t>
      </w:r>
      <w:r>
        <w:rPr>
          <w:b/>
        </w:rPr>
        <w:t>flicka²</w:t>
      </w:r>
      <w:r>
        <w:rPr>
          <w:b w:val="0"/>
        </w:rPr>
        <w:t xml:space="preserve"> i våra dagar hålla öppen så länge som möjligt. Man går icke in i en återvändsgränd, från vilken man endast med stora svårigheter kan slå in på gymnasievägen, om man finner denna senare lämpligare eller fördelaktigare. Och hela anordningen svär för övrigt mot grundtanken i den enhetsskoleorganisation, som framgick av fjolårets riksdagsbeslut.</w:t>
        <w:br/>
        <w:br/>
        <w:t>Jag vill alldeles särskilt hos de ärade ledamöter av riksdagen. som ställt</w:t>
        <w:br/>
        <w:br/>
        <w:t xml:space="preserve">sig avvisande eller betänksamma mot samskolan, rikta uppmärksamheten på denna sak, ty den isoleringssträvan, som här möter för </w:t>
      </w:r>
      <w:r>
        <w:rPr>
          <w:b/>
        </w:rPr>
        <w:t>flickskolornas²</w:t>
      </w:r>
      <w:r>
        <w:rPr>
          <w:b w:val="0"/>
        </w:rPr>
        <w:t xml:space="preserve"> del, innesluter en bestämd fara, att de </w:t>
      </w:r>
      <w:r>
        <w:rPr>
          <w:b/>
        </w:rPr>
        <w:t>flickor²</w:t>
      </w:r>
      <w:r>
        <w:rPr>
          <w:b w:val="0"/>
        </w:rPr>
        <w:t xml:space="preserve">, som önska gå fram studentvägen, bli tvingade att anlita realskolan, där samundervisning Ju är regel. Följden blir alltså, att samskolan göres till den normala skolformen för de studiebegåvade </w:t>
      </w:r>
      <w:r>
        <w:rPr>
          <w:b/>
        </w:rPr>
        <w:t>flickorna²</w:t>
      </w:r>
      <w:r>
        <w:rPr>
          <w:b w:val="0"/>
        </w:rPr>
        <w:t>.</w:t>
        <w:br/>
        <w:br/>
        <w:t xml:space="preserve">"Till slut ett par ord om kostnadsfrågan. TI fjolårets skoldebatt efterlystes. enligt min mening utan grund, detaljerade kostnadsberäkningar. Men i år tror jag, att man på synnerligen goda grunder nödgas efterlysa närmare kostnadsberäkningar. Hur allmänheten uppfattar Kungl. Maj:ts proposition, har ställts i blixtbelysning genom dagens nummer av regeringsorganet. där en välvillig ledare slutar på följande sätt: »De 58,000 kronor, som reformens realiserande kostar om året, äro säkerligen väl använda pengar.» Nu är förhållandet det, att Kungl. Maj:t för nästa budgetår äskar just 58,000 kronor 1 förslagsanslag, självfallet med hänvisning till att skolorna hinna ombildas i mycket ringa utsträckning första året. Men Kungl. Maj:t uraktlåter fullständigt att lämna några hållpunkter för bedömandet, hur detta förslagsanslag med åren kommer att växa. Den enda hållpunkt, som jag har funnit i propositionen, är en bilaga, som meddelar en jämförelse mellan kostnaderna för bl. a. en privat </w:t>
      </w:r>
      <w:r>
        <w:rPr>
          <w:b/>
        </w:rPr>
        <w:t>flickskola²</w:t>
      </w:r>
      <w:r>
        <w:rPr>
          <w:b w:val="0"/>
        </w:rPr>
        <w:t xml:space="preserve"> i Södertälje och en kommunal </w:t>
      </w:r>
      <w:r>
        <w:rPr>
          <w:b/>
        </w:rPr>
        <w:t>flickskola²</w:t>
      </w:r>
      <w:r>
        <w:rPr>
          <w:b w:val="0"/>
        </w:rPr>
        <w:t xml:space="preserve">, som övertager den förras uppgift. Om alltså denna </w:t>
      </w:r>
      <w:r>
        <w:rPr>
          <w:b/>
        </w:rPr>
        <w:t>flickskola²</w:t>
      </w:r>
      <w:r>
        <w:rPr>
          <w:b w:val="0"/>
        </w:rPr>
        <w:t xml:space="preserve"> i Södertälje kommunaliseras, hur skulle budgetförhållandena komma att gestalta sig? Man inhämtar, att medan för närvarande statens årliga kostnader per lärjunge uppgå till i runt tal 174 kronor, skulle de vid kommunalisering stiga till 2841 kronor, alltså med 110 kronor. Detta är som nämnts årskostnaderna. Kommunens årskostnader skulle stiga från 46 kronor till 109 kronor, alltså med 63 kronor per år, frånsett kostnaderna för byggnader och inredning. Säger jag då, att vi i närvarande stund ha ungefär 16,000 </w:t>
      </w:r>
      <w:r>
        <w:rPr>
          <w:b/>
        </w:rPr>
        <w:t>flickor²</w:t>
      </w:r>
      <w:r>
        <w:rPr>
          <w:b w:val="0"/>
        </w:rPr>
        <w:t xml:space="preserve"> i de klasser, som motsvara de blivande kommunala </w:t>
      </w:r>
      <w:r>
        <w:rPr>
          <w:b/>
        </w:rPr>
        <w:t>flickskolorna²</w:t>
      </w:r>
      <w:r>
        <w:rPr>
          <w:b w:val="0"/>
        </w:rPr>
        <w:t xml:space="preserve">, så skulle de totala årskostnaderna — jag är dock övertygad om, att genomsnittskostnaderna 1 Södertälje äro relativt låga, eftersom skolan är beräknad för 175 lärjungar — komma att i mycket avsevärd mån överstiga de nuvarande kostnaderna för privatläroverken. Under förutsättning att vi övergå till allmän kommunalisering men bortse från de 11 å 12 </w:t>
      </w:r>
      <w:r>
        <w:rPr>
          <w:b/>
        </w:rPr>
        <w:t>flickskolor²</w:t>
      </w:r>
      <w:r>
        <w:rPr>
          <w:b w:val="0"/>
        </w:rPr>
        <w:t>, som riksdagen kopplade av i fjol i samband med samläroverkens upprättande, skulle man komma till en merkostnad av 1,800,000 kronor för staten och något över 1,000,000 kronor för kommunerna, bortsett från kostnaderna för byggnader och inredningsmateriel. Och såsom jag förut betonat, är det anledning befara, att även dessa siffror skola komma att i verkligheten överskridas.</w:t>
        <w:br/>
        <w:br/>
        <w:t>Herr talman, mellan propositionen nr 116 vid 1928 års riksdag och samma nummer i 1927 års serie är sålunda ett svalg befäst. Den förra präglades av Fridtjuv Bergs demokratiska skolpolitik, den senare bär statsrådet Almkvists märke. Man kan utan överdrift säga, att dessa båda propositioner representera två skilda världar. Den nu föreliggande stryker ett brett streck över hela den utveckling, som leder fram till 1927 års riksdagsbeslut. Herr Bergman är rehabiliterad. Han stod i fjol som ensam flykting i högerlägret, men han har trots sin ensamhet visat sig som den i längden starkaste. Och han kan i dag glatt välkomna sina motståndare från i fjol såsom goda meningsfränder. Men jag är viss om att man ute i landet skall ha svårt att finna sig till rätta med den sortens omvändelser. De ha det felet att ha försiggått alltför huvudstupa och få därigenom över sig ett omisskännligt drag av flykt, man skulle nästan kunna säga, panik. Det är tydligen den borgerliga samlingen. som spökar. Inför denna magiska paroll få idéerna vika. De bli obekvämt resgods på vägen. Det må tillåtas mig uttrycka den förhoppningen, att riksdagen</w:t>
        <w:br/>
        <w:br/>
        <w:t>Kungl. proposkall taga allvarligare på den uppgift, som här föreligger, än vad som skett</w:t>
        <w:br/>
        <w:br/>
        <w:t>från Kungl. Maj:ts sida, och kräva respekt för vad som förevarit. Efter dessa anmärkningar skall jag, herr talman, tillåta mig att yrka, att</w:t>
        <w:br/>
        <w:br/>
        <w:t>nerligen omfattande karaktär, måtte utsträckas till det sammanträde, som infaller näst efter tjugu dagar från propositionens avlämnande.</w:t>
      </w:r>
    </w:p>
    <w:p>
      <w:pPr>
        <w:pStyle w:val="Heading2"/>
      </w:pPr>
      <w:r>
        <w:t>2. Karl Ekman (Första kammarens nationella parti, man)</w:t>
      </w:r>
    </w:p>
    <w:p>
      <w:r>
        <w:rPr>
          <w:b w:val="0"/>
        </w:rPr>
        <w:t>Herr talman, mina herrar! Det var rätt överraskande att en remissdebatt skulle etableras i denna fråga. Jag skall emellertid be att få säga ett par ord till bemötande av vad den föregående ärade talaren anfört.</w:t>
        <w:br/>
        <w:br/>
        <w:t>Hans anförande visar, att man kan läsa motiveringen till förra årets riksdagsbeslut på ganska olika sätt. Han talade om bottenskolan, och han hade läst motiveringen till riksdagsbeslutet så, att anknytning till sjätte folkskoleklassen skulle vara det normala. Jag undrar, vad herr Reuterskiöld säger om den saken. Vi hörde herr Reuterskiöld förra året i kammaren gång på gång betyga, att det icke skulle vara så, som herr Björck läst ut av motiveringen, utan att tvärtom de båda typerna av bottenskola skulle vara jämställda.</w:t>
        <w:br/>
        <w:br/>
        <w:t xml:space="preserve">Nu tror jag, att anknytningen till den sexåriga bottenskolan nog faktiskt fick ett försteg i förra årets riksdagsbeslut, och därför kan jag icke finna annat, än att det är en fullkomligt skyldig gärd åt jämställdhetstanken, ifall det nu skulle vara så, att </w:t>
      </w:r>
      <w:r>
        <w:rPr>
          <w:b/>
        </w:rPr>
        <w:t>flickskolan²</w:t>
      </w:r>
      <w:r>
        <w:rPr>
          <w:b w:val="0"/>
        </w:rPr>
        <w:t xml:space="preserve"> i år något litet mer anknyter till den fyraklassiga än till den sexklassiga bottenskolan.</w:t>
        <w:br/>
        <w:br/>
        <w:t>Vi veta alla, att skolfrågan vid 1927 års riksdag forcerades på ett sätt, som väckte de allvarligaste betänkligheter. Följden blev också, att besluten i många avseenden icke voro tillräckligt genomtänkta utan ge intryck av ett hastverk. Det är så även med mycket i motiveringen. Därför tror jag, att man icke får på det sätt, som den föregående ärade talaren har gjort, forcera vissa uttryck i motiveringen och pressa fram en mening, som det kanske dock icke var riksdagens fulla avsikt att uttala. Att ställa sig på en så formalistisk ståndpunkt, som den föregående ärade talaren har gjort, anser jag icke vara berättigat. Över en dylik formalism måste alltid stå skolans och den uppväxande ungdomens bästa.</w:t>
        <w:br/>
        <w:br/>
        <w:t>Det är denna senare synpunkt, som måste bli avgörande för frågans behandling i riksdagen.</w:t>
        <w:br/>
        <w:br/>
        <w:t>»Utskottet hyser den uppfattningen, att skäl saknas att till övervägande upptagna frågan om en förändring av statsskicket, och får alltså hemställa, att förevarande motion icke måtte till någon riksdagens åtgärd föranleda.»</w:t>
        <w:br/>
        <w:br/>
        <w:t>»Utskottet håller före, att den republikanska statsformens företräde framför den ärftliga monarkien väsentligen ligger däri, att statschefen utses genom val. Något bärigt skäl att med avseende på statens högsta ämbete tillämpa en ärftlighetsprincip, vilken skulle betraktas som både orimlig och äventyrlig i fråga om varje annat statsämbete, kan icke förebringas. Det republikanska statsskickets större ändamålsenlighet synes utskottet för övrigt ha bekräftats genom de utomordentligt stora landvinningar detta statsskick gjort under de senare åren. Utskottet finner det därför både nyttigt och önskvärt, att en utredning kommer till stånd, som dels klarlägger statschefens konstitutionella befogenheter i olika republikanska stater, dels undersöker, vilken utgestaltning ett svenskt republikanskt statsskick bör ha, där, utan ändring av vårt : nuvarande statsskicks faktiska, genom parlamentarismens praxis hävdvunna maktfördelning, ärftligheten ersättes med valbarheten som princip för statschefens utseende.</w:t>
        <w:br/>
        <w:br/>
        <w:t>Utskottet får alltså hemställa, att riksdagen måtte i skrivelse till Kungl. Maj:t anhålla om utredning angående statschefens konstitutionella maktställ-</w:t>
        <w:br/>
        <w:br/>
        <w:t>ning i vissa främmande länder med republikansk författning under jämförelse med vårt gällande statsskick samt rörande de författningsändringar, som erfordras för sådan omgestaltning av vårt statsskick, att statschefen utses genom val.»</w:t>
        <w:br/>
        <w:br/>
        <w:t>»Beträffande kravet på den ärftliga konungamaktens avskaffande och införande av republikanskt statsskick hyser utskottet den uppfattningen, att frågan är en av dem, som i den ordning, varom i regeringsformen $ 49 mom. 2 och riksdagsordningen $ 1 mom. 2 stadgas, före sitt avgörande lämpligen böra underställas allmän folkomröstning. Den grad av aktualitet, som rimligtvis bör prägla en fråga, när dess hänskjutande till allmän folkomröstning påkallas, synes dock utskottet icke för närvarande föreligga beträffande det av motionärerna framförda önskemålet.</w:t>
        <w:br/>
        <w:br/>
        <w:t>Vid ett sådant förhållande får utskottet, som principiellt ansluter sig till kravet på ett republikanskt statsskick, hemställa, att förevarande motion icke måtte till någon riksdagens åtgärd föranleda.»</w:t>
        <w:br/>
        <w:br/>
        <w:t>»Erfarenheten har lärt, att när förändringar av statsskicket genomföras i ett land, detta gemenligen sker på andra vägar än de parlamentariska. Uteslutet bör emellertid, såsom också våra grundlagar giva vid hand, ej vara att även frågor av detta slag handläggas och lösas i laglig och fredlig ordning, därest förhållandena och en utbredd folkmening kräva deras upptagande.</w:t>
        <w:br/>
        <w:br/>
        <w:t>Då för närvarande så ej kan sägas vara händelsen, hemställer utskottet. att förevarande motion icke måtte till någon riksdagens åtgärd föranleda.»</w:t>
      </w:r>
    </w:p>
    <w:p>
      <w:pPr>
        <w:pStyle w:val="Heading2"/>
      </w:pPr>
      <w:r>
        <w:t>3. Ivar Vennerström (Socialdemokraterna, man)</w:t>
      </w:r>
    </w:p>
    <w:p>
      <w:r>
        <w:rPr>
          <w:b w:val="0"/>
        </w:rPr>
        <w:t>Herr talman! Då jag tillhör den skara reservanter, vilkas fanbärare är vice ordföranden i konstitutionsutskottet, herr Engberg. har det blivit min smärtsamma plikt att klara ut innehållet i denna reservation. Då ber jag ögonblickligen att få säga, att enligt reservationens innebörd har frågan om konungadömets avskrivning icke omedelbar aktualitet. i så måtto att det skulle gälla att ögonblickligen avskriva detsamma. Men frågan har en permanent aktualitet, som ligger däri, att det alltid är otillfredsställande, att befordringsmetoderna, när det gäller samhällets högsta post, icke äro desamma som i det dagliga livet.</w:t>
        <w:br/>
        <w:br/>
        <w:t xml:space="preserve">Jag är viss om att det svenska konungadömet för närvarande är djupt rotat i den svenska folksjälen. Jag hade tillfälle att i detta avseende personligen erhålla åskådningsmaterial vid deltagandet i ostkustbanans invigning, då jag fann, att befolkningen glömde ostkustbanan och dess skapare inför det faktum. att ostkustbanans invigningståg var ett kungatåg. En av riksdagens tjänstemän nämnde häromdagen för mig, att de morgnar, när någon av de kungliga personerna ankomma till centralstationen, får man i hans familj ingen frukost. emedan </w:t>
      </w:r>
      <w:r>
        <w:rPr>
          <w:b/>
        </w:rPr>
        <w:t>kokerskans³</w:t>
      </w:r>
      <w:r>
        <w:rPr>
          <w:b w:val="0"/>
        </w:rPr>
        <w:t xml:space="preserve"> oerhörda rojalism tvingar </w:t>
      </w:r>
      <w:r>
        <w:rPr>
          <w:b/>
        </w:rPr>
        <w:t>henne²</w:t>
      </w:r>
      <w:r>
        <w:rPr>
          <w:b w:val="0"/>
        </w:rPr>
        <w:t xml:space="preserve"> att varje sådan morgon begiva sig ned till centralstationen. Skulle det gälla för mig personligen att denna dag avgiva mitt votum för en svensk president, ligger det åtminstone för mig ganska nära, att mitt votum skulle avlämnas för den man, som enligt Svea rikes grundlagar och enligt naturens ordning blir den nästa innehavaren av den svenska kungatronen.</w:t>
        <w:br/>
        <w:br/>
        <w:t>Men vad som icke är aktuellt i dag och för ögonblicket kan bliva det i framtiden. Jag tror inte, att det ens i denna kammare finns någon, som djärves tro på kungadömets renässans i världen. Det finns ju en del kungadömen kvar</w:t>
        <w:br/>
        <w:br/>
        <w:t>på den europeiska kontinenten, men särskilt i de sydeuropeiska delarna är vil situationen den, att kungadömet endast är ett fikonalöv för synnerligen personliga diktaturer. Min personliga tanke — och jag tror även reservationens — är, att man går allt mer fram i världen emot kungadömets avskrivning och att det därför gäller att i förväg klara ut spörsmålet för sig, så att man, när situationen är mogen vet, i vilken form man vill stöpa den tänkta svenska republiken. Jag instämmer för min personliga del helt i den åskådningen, att republikens införande i vårt land bör föregås av folkomröstning, men jag tror icke, att spörsmålet om utredningen står i någon motsättning till spörsmålet om folkomröstningen, utan folkomröstningen är väl snarast ett sista led i utredningsproceduren. Jag hänvisar i detta fall till förbudsomröstningen, när den kom såsom ett sista led i utredningen, som haft ett långvarigt föregående förlopp.</w:t>
        <w:br/>
        <w:br/>
        <w:t>Det är skillnad på kungadöme och kungadöme, och det är även skillnad på republik och republik. Det finnes republiker av sådan natur, att jag tror att även en god svensk republikan skulle föredraga ett eller annat kungadöme framför dylika republiker. Jag vill till de republikanska motionärerna säga, att jag personligen föredrager att vistas inom Sveriges konstitutionella monarki än i en republik av det kynne, som vi hava i den sovjetryska republiken. Det gäller därför att klarlägga, vad vi till äventyrs mena med republik. Av den anledning synes mig ganska riktigt och rimligt, att man redan innan frågan erhåller akut aktualitet och innan det kan vara tal om någon folkomröstning, försöker klarlägga de viktigare delarna av den republikanska statsförfattningens förhållanden. I detta avseende vill jag särskilt hänvisa till att det gäller att åstadkomma en form för väljandet av presidenten. Man har ju därvidlag en ganska rik skala: alltifrån den metod, man använder i Förenta staterna, där man har en direkt folkomröstning med dess upprivande strider, och till val genom korporationer eller av parlamenten. Såsom herrarna torde veta, har om den frågan diskussion varit å bane i den finska republiken, och jag tror att den frågan avgjorts under föregående dags förhandlingar. Det gäller därjämte att avgöra och taga ställning till spörsmålet rörande presidentens maktbefogenheter. Även där har man en ganska rik skala att välja på. Man kan börja med republiken Schweiz, där presidenten bara är ordförande i ett kollegium; man kan vandra vidare till Frankrike och hamna i Förenta staterna, där presidenten har en utomordentligt stark befogenhet. Och man kan gå över till Sovjetryssland, där jag tror att presidenten och skaran närmast omkring honom icke är någonting annat än en samling diktatorer eller småkungar.</w:t>
        <w:br/>
        <w:br/>
        <w:t>Med denna motivering tillåter jag mig, herr talman, att för min del yrka bifall till den av herr Engberg m. fl. utskottsledamöter avgivna, vid utskottets utlåtande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549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