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1758</w:t>
      </w:r>
    </w:p>
    <w:p>
      <w:r>
        <w:rPr>
          <w:b/>
        </w:rPr>
        <w:t xml:space="preserve">Datum: </w:t>
      </w:r>
      <w:r>
        <w:t>1928-03-14</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Agda Östlund (Socialdemokraterna, woman)</w:t>
      </w:r>
    </w:p>
    <w:p>
      <w:r>
        <w:rPr>
          <w:b w:val="0"/>
        </w:rPr>
        <w:t>Herr talman! Det är nu femton år sedan herr Lindhagen första gången i en motion begärde, att riksdagen skulle tänka på att bereda förbättrad arbetsanställning och därmed följande förmåner åt den förbisedda och i alla avseenden sämst ställda personal, som hade att utföra arbete inom sta-</w:t>
        <w:br/>
        <w:br/>
        <w:t>tens verk och myndigheter, städerskorna. Det verkade ju nästan revolutioncrande: skulle nu städningspersonalen också bli tjänstemän! Det var ju otän</w:t>
        <w:br/>
        <w:br/>
        <w:t>kanställning åt</w:t>
        <w:br/>
        <w:br/>
        <w:t>bart, och frågan föll naturligtvis riktigt ordentligt. Under dessa femton år har sysselsatta med i alla fall riksdagen behandlat denna fråga många gånger om, men den har städning m.m.</w:t>
        <w:br/>
        <w:br/>
        <w:t>stupat på svårigheten att lösa den, och det ser nästan ut, som om dessa svårigheter skulle vara oövervinneliga än i dag, ty det utlåtande, som statsutskottet avlimnat och som naturligtvis kommer att antagas av kammaren, säger strängt taget varken ja eller nej till den motion, som vid innevarande års riksdag väckts 1 frågan.</w:t>
        <w:br/>
        <w:br/>
        <w:t>Visserligen yrkar utskottet, att motionen icke måtte föranleda någon riksdagens åtgärd, men utskottet gör på samma gång så många värdefulla medgivanden, så avslagsyrkandet är inte på något sätt förkrossande. Frågan vilar hos Kungl. Maj:t, och där har den vilat i ro de senaste 8—10 åren, och det bör ankomma på Kungl. Maj:t att vidtaga de åtgärder, som befinnas erforderliga, anser utskottet. När nu utskottet meddelar, att till och med, åtminstone till någon del, en utredning föreligger, så var det ju en nyhet att vara tacksam för, men denna utredning omfattar ju endast den arbetsgrupp, som är anställd inom de centrala ämbetsverken, och svarar inte annat än delvis mot motionen. Men när riksdagen beslöt att begränsa utredningen till dessa verk, så var det därför att det skulle vara lättare och för att det skulle gå fortare att kunna göra något åt frågan.</w:t>
        <w:br/>
        <w:br/>
        <w:t xml:space="preserve">Det är litet svårt att fatta, att det förslag, som motionärerna framlagt, förefaller. så svårlöst och bereder vederbörande så mycket bekymmer. I motionen är begärt, att det måtte utredas, i vad mån, i vilka fall och under vilka förutsättningar fast anställning eller vissa nämnda förmåner kan beredas personal, sysselsatt med städningsarbete. Men detta sista alternativ i motionen halkar man behändigt förbi och stannar vid punkten om den fasta anställningen, som ingen tycks kunna komma över. Men det är ju föreslaget den största tänkbara bredd att både utreda och få fram ett förslag. Man kan nämligen läsa ut ur utskottets utlåtande såväl som från tidigare behandling i riksdagen av denna fråga, att svårigheten att ordna förhållandena angående städningspersonalen skulle bero på anställningsvillkoren. Det är nämligen så, att städerskorna äro anställda i andra hand, någon förste vaktmästare har hand om hela städningsarbetet och anställer i sin tur den hjälp, som behövs. Det har hittills varit den tuva som stjälpt hela lasset. Men jag undrar, var det står skrivet, att dessa städerskor ovillkorligen för all framtid böra anställas på det sätt som hittills praktiserats, om nu detta är huvudorsaken till, att ingenting kan göras åt frågan. Det talas också om, när det gäller denna personal, då man vill avfärda tanken på att bereda den förbättrad ställning, att detta arbete i allmänhet utövas som bisyssla. Det är ett utomordentligt bekvämt sätt att komma ifrån hela saken, men det är icke alldeles riktigt. Den enda, för vilken detta städningsarbete är en bisyssla, är just denna förste vaktmästare, eftersom han redan har en ordinarie anställning. Men för de </w:t>
      </w:r>
      <w:r>
        <w:rPr>
          <w:b/>
        </w:rPr>
        <w:t>kvinnliga¹</w:t>
      </w:r>
      <w:r>
        <w:rPr>
          <w:b w:val="0"/>
        </w:rPr>
        <w:t xml:space="preserve"> städerskorna kan arbetet ej betraktas som bisyssla, enär de, som oftast är fallet, icke ha annan anställning. Nu önskar jag ej alls, att man ovillkorligen måste taga ifrån förste vaktmästaren den eventuella inkomst han kan ha genom att han har hand om städningspersonalen. Han kan få fortsätta, men då kan han få särskild ersättning för detta, utan att behöva ha arbetet på entreprenad. Så har det redan ordnats i många verk, att detta städningsarbete betalas enligt räkning, men ej utlämnas på entreprenad. När jag väckte denna motion, har jag för min del icke ett ögonblick tänkt mig, att alla städerskor, vare sig de ha längre eller kortare arbetstid, skulle bli ordinarie tjänstemän. Det har väl för övrigt ingen tänkt, i det fallet tillåter jag mig instämma med utskottet. Men att detta behöver leda till, att icke en enda förmån kan beredas den personal, som sköter</w:t>
        <w:br/>
        <w:br/>
        <w:t>sitt, om ändå aldrig så enkla, arbete oklanderligt och till den övriga persona-</w:t>
        <w:br/>
        <w:br/>
        <w:t>anställning åt lens och allmänhetens nytta och trevnad, det är ej riktigt och rättvist. Om vi</w:t>
        <w:br/>
        <w:br/>
        <w:t>tänka på den arbetstid dessa städerskor ha från tidiga morgonen — den ena kan börja kl. 4, andra senare — med kvällsarbete ibland, nattarbete eller söndags-</w:t>
        <w:br/>
        <w:br/>
        <w:t>hos statens arbete ibland, så är det säkert en arbetstid, åt vilken många av tjänstemännen</w:t>
        <w:br/>
        <w:br/>
        <w:t>skulle fnysa ganska föraktligt. Det borde värdesättas på ett helt annat sätt än att endast avfärda saken så, som hittills skett.</w:t>
        <w:br/>
        <w:br/>
        <w:t>Det talas också i utlåtandet om en ofta kort anställningstid. Ja, men de fallen behöver man ju icke bekymra sig vidare om. I de fall, då anställningstiden är kort, löser frågan sig själv, ty om man lämnat ett arbete, har man väl ej längre några anspråk. Däremot säges ej ett ord om dem, som stanna på sin post år ut och år in.</w:t>
        <w:br/>
        <w:br/>
        <w:t xml:space="preserve">Utskottets utlåtande utgör ju till största delen ett citat från 1902 års lönekommittés utredning, men giver en mycket ofullständig och vag bild av rådande verklighet. Det blir ganska klart, att hela det entreprenadssystem, varom jag nyss talat, är ett hur-som-helst-system, och att vederbörande verk icke mycket bekymra sig om, under vilka förhållanden den underordnade grupp av </w:t>
      </w:r>
      <w:r>
        <w:rPr>
          <w:b/>
        </w:rPr>
        <w:t>arbeterskor³</w:t>
      </w:r>
      <w:r>
        <w:rPr>
          <w:b w:val="0"/>
        </w:rPr>
        <w:t>, om vilken här är fråga, existerar.</w:t>
        <w:br/>
        <w:br/>
        <w:t>Att frågan ej är olöslig, det visar utskottets eget utlåtande, där det säges, att vid den utredning, som är företagen, har »ett fåtal verk gjort gällande, att semester och rätt att vid sjukdom få behålla en del av ersättningen ävensom rätt till ålderdomsunderstöd borde tillerkännas personalen givetvis under förutsättning av tillräckligt långvarig anställning. Vissa verk ifrågasätta också fastare anställningsförhållanden. Inom några verk hade dock förekommit, att viss semester och sjukersättning medgivits vederbörande.»</w:t>
        <w:br/>
        <w:br/>
        <w:t>Det visar sig således, att man i några fall har förstått att göra det bästa möjliga av nuvarande förhållanden. Och det förefaller då som om, när man fått några verk att inse, att det finnes möjlighet att ordna förhållandena för denna personal, det ej bör vara alldeles omöjligt att få andra verk att också göra detta.</w:t>
        <w:br/>
        <w:br/>
        <w:t>Så säger utskottet eller den citerade löneregleringskommittén, att den anordning, som hittills tillämpats i avseende å beredande av ålderdomsunderstöd, icke synes lämna rum för några mer väsentliga erinringar. Ja, det understöd, som lämnas, utgår alltid, enligt vad jag tror, efter behovsprincipen. Städerskor, som arbetat i 20—--30 år och troget skött sitt arbete för den minsta tänkbara avlöning, erhålla alltså ett eventuellt understöd, om de ej lyckats på sin knappa avlöning samla en liten förmögenhet för sin ålderdom. Och detta anser löneregleringskommittén och även utskottet icke lämna rum för väsentliga erinringar! Emellertid har jag här ett par utlåtanden från bankoutskottet, både från åren 1925 och 1926 och även ett, som vi komma att behandla något senare 1 dag, i vilka det är fråga om pension för städerskor. En gemensam motivering i alla dessa utlåtanden är, att »beträffande frågan om beredande av pension eller understöd åt personer, som stadigvarande varit sysselsatta med städning och rengöringsarbete hos riksdagens verk», anser bankoutskottet, detta överensstämmer med en princip, som redan är erkänd. I ett annat utlåtande säges det, att »det torde få anses fastslaget, att riksdagen numera i princip erkänt det berättigade i, att understöd lämnas en person, som under en längre tid utfört dylikt arbete». Men man begränsar sig till riksdagens verk. Jag tillåter mig fråga, då man erkänt denna princip, när det gäller städerskor, hos riksdagens verk, varför då ej erkänna principen, när det gäller de städerskor hos statens verk och myndigheter, om vilka vi motionerat.</w:t>
        <w:br/>
        <w:br/>
        <w:t>Jag kunde kanske få tillägga, att de städerskor — jag har gjort mig underrättad om detta — om vilka vi motionera, ha en arbetstid av 4—5 timmar om dagen, och att för en del av dem blir det extra arbete, på söndagarna eller nät-</w:t>
        <w:br/>
        <w:br/>
        <w:t>ter. Och dessa städerskor i riksdagens verk, där man redan erkänt principen, ha icke ens så lång arbetsdag.</w:t>
        <w:br/>
        <w:br/>
        <w:t>Emellertid, eftersom det nu genom utskottets utlåtande och utredning befinnes klart och tydligt, att frågan befinner sig i Kungl. Maj:ts hägn, så komma åtminstone motionärerna att följa Kungl. Maj:ts åtgöranden i frågan med det uppriktigaste intresse. Och när nu frågan så många gånger behandlats i riksdagen och riksdagen redan år 1918 uttalat sin önskan, att saken måtte förarbelas, och då utredning enligt utskottets uppgift redan föreligger, må det icke förtänkas oss, att vi vänta något resultat ju förr dess hellre. Det är fattiga människor, det gäller, och dessa skulle högt uppskatta, om någon rätt även bleve tillerkänd dem.</w:t>
        <w:br/>
        <w:br/>
        <w:t>Då jag naturligtvis förstår, att det är opraktiskt att komma med något annat yrkande än det, som utskottet gått in för, och som jag förmodar kommer att bli kammarens beslut, men å andra sidan icke vill taga tillbaka ett enda ord av vad jag uttalat i min motion, ber jag ändå, herr talman, att få yrka bifall till motionen till den kraft och verkan det hava kan.</w:t>
      </w:r>
    </w:p>
    <w:p>
      <w:pPr>
        <w:pStyle w:val="Heading2"/>
      </w:pPr>
      <w:r>
        <w:t>2. Olof Olsson (Bondeförbundet, man)</w:t>
      </w:r>
    </w:p>
    <w:p>
      <w:r>
        <w:rPr>
          <w:b w:val="0"/>
        </w:rPr>
        <w:t xml:space="preserve">Herr talman! Det skulle nästan vara onödigt att besvara den ärade talarinnans yttrande, då </w:t>
      </w:r>
      <w:r>
        <w:rPr>
          <w:b/>
        </w:rPr>
        <w:t>hon²</w:t>
      </w:r>
      <w:r>
        <w:rPr>
          <w:b w:val="0"/>
        </w:rPr>
        <w:t xml:space="preserve"> själv tycktes vara ytterst tveksam, om </w:t>
      </w:r>
      <w:r>
        <w:rPr>
          <w:b/>
        </w:rPr>
        <w:t>hon²</w:t>
      </w:r>
      <w:r>
        <w:rPr>
          <w:b w:val="0"/>
        </w:rPr>
        <w:t xml:space="preserve"> egentligen skulle göra något yrkande eller ej. Men jag är väl ändå tvungen att yttra några ord i saken.</w:t>
        <w:br/>
        <w:br/>
        <w:t>Det yttrades, att detta utskottsutlåtande icke verkade förkrossande på motionärerna, och det gläder mig, att det icke gör det, ty så ochevalereskt är dock icke statsutskottet, att det velat förkrossa kammarens damer, eller ens någon av dem. Men ännu mindre skulle det falla oss in att förkrossa alla, det vore</w:t>
        <w:br/>
        <w:br/>
        <w:t>för mycket. Då det vidare yttrats, att vi icke haft något intresse — ty så tyckte jag, att det lät på talarinnan — för saken, så får jag säga, att det är ovanligt,</w:t>
        <w:br/>
        <w:br/>
        <w:t>att en avstyrkt motion får ett så långt omnämnande och en så stark utredning, som vi verkligen gjort på den avdelning jag tillhör. Jag beklagar, att avdelningens ordförande ej är närvarande. Det är han, som borde svara. Nu får jag väl göra det. Att vi saknat intresse för denna sak, är icke riktigt, ty då hade den avfärdats på några rader. Jag tycker tvärtom, att vi skrivit för mycket. Det får också medgivas, att det varit omöjligt för avdelningen att på egen hand göra något och klara upp allt detta mångskiftande, som det gäller. Det är väl knappast två verk, som ha samma förhållanden med avseende på städning. Det kunde vi alltså ej göra. Då säger man, att vi borde påyrkat utredning. Ja, saken är ju utredd, den är klar, den vilar hos Kungl. Maj:t, och Kungl. Maj:t har haft den gamla löneregleringskommittén att klara upp det hela. Och talarinnan tycktes icke ha så mycket emot det resultat, vartill kommittén kommit. Sedan är det fråga om, vad Kungl. Maj:t själv vill. Motionärerna borde då ha vänt sig till Kungl. Maj:t och icke kommit denna väg med begäran, att vi i riksdagen skola klara upp saken. Jag kan ej förstå, vad stort vi skola kunna göra däråt här i riksdagen. Jag tvivlar verkligen på, att motionärerna själva kunna på rak arm säga, vad de vilja ha gjort, men jag tror absolut icke, att de kunna säga, hur det skall göras. Då lär det väl ej vara rimligt, att man yrkar bifall till en motion, där man ej är på det klara med, hur saken skall utföras. Att blott skriva till Kungl. Maj:t ännu en gång, då ärendet nu ligger under utredning, anser jag vara orimligt. Herr talman, jag ber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1758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