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563</w:t>
      </w:r>
    </w:p>
    <w:p>
      <w:r>
        <w:rPr>
          <w:b/>
        </w:rPr>
        <w:t xml:space="preserve">Datum: </w:t>
      </w:r>
      <w:r>
        <w:t>1928-04-25</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Bergqvist (Högerns riksdagsgrupp, man)</w:t>
      </w:r>
    </w:p>
    <w:p>
      <w:r>
        <w:rPr>
          <w:b w:val="0"/>
        </w:rPr>
        <w:t xml:space="preserve">I Stockholms folkskolor ha liksom i Uppsala, Borås och Vaxholm examinerade folkskollärare varit anställda även på småskolestadiet, och vederbörande skoldistrikt ha uppburit statsbidrag såsom till folkskollärare. Nu är det fråga om att avveckla detta förhållande, och Kungl. Maj:t har framlagt förslag om att så skall ske. Den merkostnad, som staten till följd av den hittills gällande ordningen har haft beträffande Stockholms stad, är beräknad till något över 260,000 kronor om året. Skulle det sålunda i denna stund bli en ögonblicklig avveckling och statsbidrag utgå såsom till andra småskoledistrikt endast för småskollärarinnorna, så skulle det bli en besparing för statsverket av ungefär 260,000 kronor. Emellertid är det självklart, att här måste bli en övergångstid, allra helst som Stockholms stad på grund av en kungl. stadga varit skyldig att inom småskolestadiet hålla examinerade folkskollärare ända till år 1923. Striden står om hur lång denna övergångstid skall bli. Kungl. Maj:t har föreslagit en avvecklingstid av 15 år. Motionärer ha väckt förslag om att avvecklingstiden skall bestämmas till 27 år. Statskontoret, som har yttrat sig i saken, har föreslagit en avvecklingstid av 5 år. Detta ansågs av statskontoret vara tillräckligt. Emellertid har utskottet ansett sig böra ansluta sig till Kungl. Maj:ts förslag, som synes vara i alla avseenden väl avvägt, varken för snävt eller för rundligt tilltaget. Det förefaller mig, som om det ej vore riktigt, att. som reservanterna säga, övergångstiden »ej bör tillmätas så snävt som i Kungl. Maj:ts förslag förordats». En tid av 15 år är verkligen icke snäv. Jag vill också påpeka, att från direktionen för folkskolorna i Stockholm har intet bestämt yrkande framställts om övergångstid, tv denna direktion har i sitt yttrande till Kungl. Maj:t helt enkelt avstyrkt hela förslaget men i samband därmed gjort en beräkning, att, om reformen skulle genomföras, detta skulle taga en tid av 27 år. Härvid har man dock beräknat. att alla lärare skulle utan undantag kvarstå till pensionsåldern. Man har ej räknat med några andra orsaker till avgång än pensionsmässighet, men som man vet kan det i en så stor lärarekår som Stockholms finnas många andra anledningar till att lärare eller </w:t>
      </w:r>
      <w:r>
        <w:rPr>
          <w:b/>
        </w:rPr>
        <w:t>lärarinnor³</w:t>
      </w:r>
      <w:r>
        <w:rPr>
          <w:b w:val="0"/>
        </w:rPr>
        <w:t xml:space="preserve"> avgå tidigare än vid pensionsåldern. Sedan har motionärer upptagit denna beräkning såsom sitt yrkande, vilket de framfört i riksdagen. Då utskottet icke har kunnat tillstyrka motionärernas framställning, har det i alla fall trott sig kunna fatta sitt beslut i medvetandet om, att det ej är någon orättfärdighet eller orättvisa, som sker mot Stockholms stad, när man sätter övergångstiden till en så lång period som 15 år. På den tiden bör saken kunna avvecklas, och jag är säker på, att Stockholms stad icke komme vid ett eventuellt bifall till utskottets förslag att finna sig illa behandlad.</w:t>
        <w:br/>
        <w:br/>
        <w:t>VE ber därför, herr talman, i denna punkt få yrka bifall till utskottets hemställan.</w:t>
      </w:r>
    </w:p>
    <w:p>
      <w:pPr>
        <w:pStyle w:val="Heading2"/>
      </w:pPr>
      <w:r>
        <w:t>2. Paul Magnusson (Socialdemokraterna, man)</w:t>
      </w:r>
    </w:p>
    <w:p>
      <w:r>
        <w:rPr>
          <w:b w:val="0"/>
        </w:rPr>
        <w:t>Den särställning, som Stockholms stad har kommit att intaga genom den kungl. stadgan på 60-talet, som riksdagen då godtog, har ju varit till en stor nytta för Stockholm och dess undervisning. Icke minst på</w:t>
        <w:br/>
        <w:br/>
        <w:t>senare åren har man konstaterat betydelsen därav för de högre skolformer, som folkskolan numera har. Och man kan säkerligen påstå, att den organisation, som Stockholms stad haft, betytt mycket även för detta förhållande. Emellertid har ju Stockholms stad ej självrådigt intagit denna särställning, utan den har varit beroende på denna kungl. stadga. När denna upphävdes 1923, så var det naturligtvis Stockholms stads avsikt att lojalt böja sig för detta statsmakternas beslut. Jag utgår från, att det är fullständigt uteslutet, att Stockholms stad skulle påtaga sig de ekonomiska bördorna, som skulle hava blivit förenade med att ersätta det indragna statsbidrag, som det här gäller. Vi respektera naturligtvis också statsmakternas beslut i fråga om den likställighet över hela vårt land beträffande dess undervisningsväsende, som denna förändring av gällande lag avser.</w:t>
        <w:br/>
        <w:br/>
        <w:t xml:space="preserve">När jag nu vill yttra mig över denna fråga, så vill jag närmast hålla mig till vad herr Bergqvist anförde om den femtonåriga övergångstiden. Då vi från Stockholms stad begärt en längre övergångstid, så ha vi gjort det på fullgoda skäl. Det gäller nämligen att under en viss övergångstid kunna placera cirka 250 ordinarie folkskollärarinnetjänster och successivt ersätta dem med ordinarie småskollärarinnetjänster. Om nu utskottets förslag, som är lika med Kungl. Maj:ts, skulle gå igenom i fråga om den femtonåriga övergångstiden, så skulle därav följa en hel del svårigheter för Stockholms stads skolorganisation, som ej bli så lätta att övervinna. Jag vill då påpeka, att om detta skulle bli riksdagens beslut så blir det exempelvis 17 ordinarie lärarinnetjänster årligen, som måste utbytas mot ordinarie småskollärarinnetjänster. Detta innebär, och det är det jag vill komma till, att årligen endast 13 nya folkskollärarinnetjänster skulle kunna besättas. För närvarande ha vi i Stockholm cirka 150 extra ordinarie och vikarierande </w:t>
      </w:r>
      <w:r>
        <w:rPr>
          <w:b/>
        </w:rPr>
        <w:t>lärarinnor³</w:t>
      </w:r>
      <w:r>
        <w:rPr>
          <w:b w:val="0"/>
        </w:rPr>
        <w:t xml:space="preserve">, och det skulle således draga en tid av 11 eller 12 år, innan alla dessa bleve ordinarie. Riksdagen ärade ledamöter torde nog förstå, att det blir mycket dåliga befordringsförhållanden för alla dessa </w:t>
      </w:r>
      <w:r>
        <w:rPr>
          <w:b/>
        </w:rPr>
        <w:t>lärarinnor³</w:t>
      </w:r>
      <w:r>
        <w:rPr>
          <w:b w:val="0"/>
        </w:rPr>
        <w:t xml:space="preserve">. Och kommer därtill, att man beräknar omkring 8 tjänster årligen böra besättas med manliga lärare efter avgångna </w:t>
      </w:r>
      <w:r>
        <w:rPr>
          <w:b/>
        </w:rPr>
        <w:t>lärarinnor³</w:t>
      </w:r>
      <w:r>
        <w:rPr>
          <w:b w:val="0"/>
        </w:rPr>
        <w:t>, så skulle årligen endast 5 stycken lärarinnetjänster kunna ledigförklaras, och de yngsta vikarierna, som vi för närvarande ha, skulle då få vänta en tid av 25 å 30 år, innan de kunde bli ordinarie. Under sådana förhållanden må riksdagens ledamöter förstå, att för Stockholms stad i och med denna omorganisation, som här föreligger, är betydande svårigheter, som uppstå och ej minst om man skall taga nödig hänsyn till lärarepersonalens befordringsmöjligheter.</w:t>
        <w:br/>
        <w:br/>
        <w:t xml:space="preserve">Vad är det nu för skäl, som utskottet och Kungl. Maj:t anföra för den föreslagna övergångstiden av 15 år? Varför vilja de ej tillmötesgå Stockholm åtminstone så långt, som reservanterna inom utskottet gjort, d. v. s. genom en 25-årig övergångstid? Ja, det är riktigt, att Uppsala för sin del har biträtt förslaget om en övergångsperiod av 15 år. Det kan förmodligen Uppsala myc: ket väl göra med det tiotal ordinarie </w:t>
      </w:r>
      <w:r>
        <w:rPr>
          <w:b/>
        </w:rPr>
        <w:t>lärarinnor³</w:t>
      </w:r>
      <w:r>
        <w:rPr>
          <w:b w:val="0"/>
        </w:rPr>
        <w:t>, som det där gäller. Beträffande Borås är det ändå färre läraretjänster, som det gäller, men Borås har ej gjort något visst uttalande beträffande övergångstidens längd. Såväl Kungl. Maj:t som utskottet ha alltså gjort der ståndpunkt, som Uppsala intagit, till sin egen utgångspunkt och föreslagit 15 år. I övrigt säger Kungl. Maj:t självt, att hela denna fråga är huvudsakligen att se som en ekonomisk fråga, och detta är ju riktigt från statens synpunkt sett. Alla dessa skäl för en längre övergångstid, som nu Stockholms stad framställt, herr talman, skulle jag vilja understryka, då vi givetvis nu ingenting kunna erinra mot den förut beslutade lagändringen, men åtminstone måste vi nu begära nödig och skälig hänsyn till de förhålladen, vi hava haft i Stockholm och som vi ej ha självrådigt skapat, utan som ha blivit bestämda genom en kungl. stadga, vilken gjort, att vi haft dessa organisatoriska förhållanden under ett 60-tal år. Vi begära endast hän-</w:t>
        <w:br/>
        <w:br/>
        <w:t>syn till vårt krav att på ett mjukt sätt kunna lägga över dessa förhållanden så, som statsmakterna önska.</w:t>
        <w:br/>
        <w:br/>
        <w:t>Till stöd för den längre perioden skulle jag således vilja, herr talman, även anföra det uttalande, som riksdagen gjorde 1924. Riksdagen säger nämligen, som jag ber att få fästa kammarens uppmärksamhet på, följande. På sid. 467 i den kungl. propositionen heter det: »Först i den mån sådana nuvarande folkskollärarinnor, vilka undervisade å småskolestadiet, avginge från sina befattningar, kunde småskollärarinnetjänster i stället upprättas. Avvecklingen kunde följaktligen taga en avsevärd tid i anspråk och även medföra för undervisningens vidkommande åtskilliga olägenheter. Men även efter genomförandet av en omläggning av angivna beskaffenhet kunde svårigheter i ett eller annat avseende tänkas uppstå, på vilka riksdagen för det dåvarande saknade anledning att närmare ingå, men vilka riksdagen förutsätter böra bliva föremål för närmare beaktande.» Det är därför som vi från Stockholms stads sida anse. att 1928 års riksdag har att taga hänsyn till de nuvarande förhållandena.</w:t>
        <w:br/>
        <w:br/>
        <w:t>Ja, herr talman, jag skall ej gå in på frågan vidare. Jag har endast velat försöka att, utöver vad utskottets ärade ordförande redan gjort, ytterligare motivera reservationen. Jag instämmer i hans yrkande och ber ännu en gång. herr talman, att få stryka under, att den förpliktelse, som Stockholms stad har haft ifrån 60-talet, ha vi fullgjort, och när nu riksdagen ändrar om dessa grunder, så följer Stockholms stad detta också men önskar en skälig övergångstid för att kunna göra omorganisationen så rättvis som möjligt.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563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