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1823</w:t>
      </w:r>
    </w:p>
    <w:p>
      <w:r>
        <w:rPr>
          <w:b/>
        </w:rPr>
        <w:t xml:space="preserve">Datum: </w:t>
      </w:r>
      <w:r>
        <w:t>1929-04-27</w:t>
      </w:r>
    </w:p>
    <w:p>
      <w:r>
        <w:rPr>
          <w:b/>
        </w:rPr>
        <w:t xml:space="preserve">Kammare: </w:t>
      </w:r>
      <w:r>
        <w:t>Andra kammaren</w:t>
      </w:r>
    </w:p>
    <w:p>
      <w:r>
        <w:rPr>
          <w:b/>
        </w:rPr>
        <w:t xml:space="preserve">Antal yttranden: </w:t>
      </w:r>
      <w:r>
        <w:t>13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Helge Bäcklund (Socialdemokraterna, man)</w:t>
      </w:r>
    </w:p>
    <w:p>
      <w:r>
        <w:rPr>
          <w:b w:val="0"/>
        </w:rPr>
        <w:t xml:space="preserve">Herr talman! Detta ärende förekom redan förra året, men då föll förslaget om pension till den </w:t>
      </w:r>
      <w:r>
        <w:rPr>
          <w:b/>
        </w:rPr>
        <w:t>änka²</w:t>
      </w:r>
      <w:r>
        <w:rPr>
          <w:b w:val="0"/>
        </w:rPr>
        <w:t xml:space="preserve">, varom här är fråga, på den tioårsgräns, som bankoutskottet ville införa för erhållande av pension. Förslaget godtogs emellertid icke av andra kammaren, och jag för min del ville icke vid sammanjämkningen mellan kamrarnas olika meningar väcka någon strid i saken, utan jag uttalade, att de ärenden, som på denna grund fallit, borde återkomma och behandlas av 1929 års riksdag. Så sker nu också här. Det gäller en </w:t>
      </w:r>
      <w:r>
        <w:rPr>
          <w:b/>
        </w:rPr>
        <w:t>änka²</w:t>
      </w:r>
      <w:r>
        <w:rPr>
          <w:b w:val="0"/>
        </w:rPr>
        <w:t xml:space="preserve">, som är 69 år gammal; </w:t>
      </w:r>
      <w:r>
        <w:rPr>
          <w:b/>
        </w:rPr>
        <w:t>hon²</w:t>
      </w:r>
      <w:r>
        <w:rPr>
          <w:b w:val="0"/>
        </w:rPr>
        <w:t xml:space="preserve"> var 58 år, då mannen avled. Det är nu 11 år sedan dess, men den saken borde icke vara avgörande i detta fall. Då </w:t>
      </w:r>
      <w:r>
        <w:rPr>
          <w:b/>
        </w:rPr>
        <w:t>hon²</w:t>
      </w:r>
      <w:r>
        <w:rPr>
          <w:b w:val="0"/>
        </w:rPr>
        <w:t xml:space="preserve"> nu är gammal och fattig, tycker jag det skulle vara en gärd av rättvisa, att — särskilt när mannen haft en synnerligen lång tjänstetid hos staten — </w:t>
      </w:r>
      <w:r>
        <w:rPr>
          <w:b/>
        </w:rPr>
        <w:t>hon²</w:t>
      </w:r>
      <w:r>
        <w:rPr>
          <w:b w:val="0"/>
        </w:rPr>
        <w:t xml:space="preserve"> erhåller det belopp av 384 kronor om året, som föreslagits i reservationen. Jag har använt mig i reservationen av utskottets ena alternativ. Det var nämligen så, att utskottet hade alternativa förslag intill justeringen, då det ena förslaget icke vann utskottets bifall. Man var alltså i utskottet till den grad tveksam, att man ansåg sig böra skriva alternativa förslag.</w:t>
        <w:br/>
        <w:br/>
        <w:t xml:space="preserve">Jag tror icke, att man bör anlägga de synpunkter på frågan, som utskottet gjort. Utskottet har framhållit, att </w:t>
      </w:r>
      <w:r>
        <w:rPr>
          <w:b/>
        </w:rPr>
        <w:t>änkan²</w:t>
      </w:r>
      <w:r>
        <w:rPr>
          <w:b w:val="0"/>
        </w:rPr>
        <w:t xml:space="preserve"> har fattigvårdsunderstöd av 15 kronor i månaden, något som skulle diskvalificera </w:t>
      </w:r>
      <w:r>
        <w:rPr>
          <w:b/>
        </w:rPr>
        <w:t>henne²</w:t>
      </w:r>
      <w:r>
        <w:rPr>
          <w:b w:val="0"/>
        </w:rPr>
        <w:t xml:space="preserve"> efter de nya principerna. Vad bleve följden, om man toge hänsyn till sådant? Jo, om en </w:t>
      </w:r>
      <w:r>
        <w:rPr>
          <w:b/>
        </w:rPr>
        <w:t>kvinna¹</w:t>
      </w:r>
      <w:r>
        <w:rPr>
          <w:b w:val="0"/>
        </w:rPr>
        <w:t xml:space="preserve"> blivit </w:t>
      </w:r>
      <w:r>
        <w:rPr>
          <w:b/>
        </w:rPr>
        <w:t>änka²</w:t>
      </w:r>
      <w:r>
        <w:rPr>
          <w:b w:val="0"/>
        </w:rPr>
        <w:t xml:space="preserve"> och det dröjer en tid innan ärendet handlagts av myndigheterna, skulle </w:t>
      </w:r>
      <w:r>
        <w:rPr>
          <w:b/>
        </w:rPr>
        <w:t>hon²</w:t>
      </w:r>
      <w:r>
        <w:rPr>
          <w:b w:val="0"/>
        </w:rPr>
        <w:t xml:space="preserve"> gå miste om pension, trots att mannen kanske tjänat staten under en lång tid och </w:t>
      </w:r>
      <w:r>
        <w:rPr>
          <w:b/>
        </w:rPr>
        <w:t>änkan²</w:t>
      </w:r>
      <w:r>
        <w:rPr>
          <w:b w:val="0"/>
        </w:rPr>
        <w:t xml:space="preserve"> uppnått hög ålder, endast därför att </w:t>
      </w:r>
      <w:r>
        <w:rPr>
          <w:b/>
        </w:rPr>
        <w:t>hon²</w:t>
      </w:r>
      <w:r>
        <w:rPr>
          <w:b w:val="0"/>
        </w:rPr>
        <w:t xml:space="preserve"> under mellantiden fått</w:t>
        <w:br/>
        <w:br/>
        <w:t>talman, om bifall till reservationen.</w:t>
      </w:r>
    </w:p>
    <w:p>
      <w:pPr>
        <w:pStyle w:val="Heading2"/>
      </w:pPr>
      <w:r>
        <w:t>2. Nils Winkler (Lantmanna- och borgarepartiet inom andrakammaren, man)</w:t>
      </w:r>
    </w:p>
    <w:p>
      <w:r>
        <w:rPr>
          <w:b w:val="0"/>
        </w:rPr>
        <w:t xml:space="preserve">Herr talman! Motivet till utskottets ställningstagande i detta fall har varit dels att det förflutit 12 år sedan mannen dog och dels att </w:t>
      </w:r>
      <w:r>
        <w:rPr>
          <w:b/>
        </w:rPr>
        <w:t>änkan²</w:t>
      </w:r>
      <w:r>
        <w:rPr>
          <w:b w:val="0"/>
        </w:rPr>
        <w:t xml:space="preserve"> åtnjuter kommunalt understöd. Man har i utskottet varit överens om — med undantag av herr Bäcklund och kanske en ledamot till — att de som redan erhöllo kommunalt understöd icke borde erhålla pensioner eller understöd av statsmedel, då detta skulle innebära, att man avlyfte från vederbörande kommun den börda, som den åtagit sig, och överförde den på staten. Jag tror icke, att de av herr Bäcklund anförda skälen tala för en ändring i detta förfaringssätt, och jag yrkar därför bifall till utskottets hemställan.</w:t>
        <w:br/>
        <w:br/>
        <w:t>Efter härmed slutad överläggning gav herr talmannen propositioner dels på bifall till utskottets hemställan i förevarande punkt, dels ock på avslag därå samt bifall i stället till den vid punkten fogade reservationen ; och blev utskottets hemställan av kammaren bifallen.</w:t>
      </w:r>
    </w:p>
    <w:p>
      <w:pPr>
        <w:pStyle w:val="Heading2"/>
      </w:pPr>
      <w:r>
        <w:t>3. Samuel Hedlund (Jordbrukarnas fria grupp, man)</w:t>
      </w:r>
    </w:p>
    <w:p>
      <w:r>
        <w:rPr>
          <w:b w:val="0"/>
        </w:rPr>
        <w:t>Herr talman! TI början av riksdagen avlämnades (Forts)</w:t>
        <w:br/>
        <w:br/>
        <w:t xml:space="preserve">i denna och första kammaren likalydande motioner, vari hemställdes om ett anslag till </w:t>
      </w:r>
      <w:r>
        <w:rPr>
          <w:b/>
        </w:rPr>
        <w:t>änkan²</w:t>
      </w:r>
      <w:r>
        <w:rPr>
          <w:b w:val="0"/>
        </w:rPr>
        <w:t xml:space="preserve"> efter en extralärare, Högberg, vid Östersunds allmänna läroverk och </w:t>
      </w:r>
      <w:r>
        <w:rPr>
          <w:b/>
        </w:rPr>
        <w:t>hennes²</w:t>
      </w:r>
      <w:r>
        <w:rPr>
          <w:b w:val="0"/>
        </w:rPr>
        <w:t xml:space="preserve"> minderåriga barn. Om vi hade ägt kännedom att Kungl. Maj:t skulle avlåta proposition i ärendet, hade vi givetvis icke behövt framkomma med en sådan motion. I propositionen, som ju innehåller en fullständig utredning i ämnet med yttranden från såväl skolöverstyrelsen som statskontoret, framhålles den tveksamhet, som även vi motionärer kände rörande huruvida det skulle vara möjligt att tillerkänna </w:t>
      </w:r>
      <w:r>
        <w:rPr>
          <w:b/>
        </w:rPr>
        <w:t>änkan²</w:t>
      </w:r>
      <w:r>
        <w:rPr>
          <w:b w:val="0"/>
        </w:rPr>
        <w:t xml:space="preserve"> och </w:t>
      </w:r>
      <w:r>
        <w:rPr>
          <w:b/>
        </w:rPr>
        <w:t>hennes²</w:t>
      </w:r>
      <w:r>
        <w:rPr>
          <w:b w:val="0"/>
        </w:rPr>
        <w:t xml:space="preserve"> minderåriga barn pension vid det förhållande att läraren icke varit tillräckligt lång tid i statens tjänst. Skolöverstyrelsen har dock tillstyrkt och säger, att det är ytterst behjärtansvärda omständigheter, som här föreligga, varför man hemställt att av statsmedel understöd måtte beviljas </w:t>
      </w:r>
      <w:r>
        <w:rPr>
          <w:b/>
        </w:rPr>
        <w:t>änkan²</w:t>
      </w:r>
      <w:r>
        <w:rPr>
          <w:b w:val="0"/>
        </w:rPr>
        <w:t xml:space="preserve"> Högberg och </w:t>
      </w:r>
      <w:r>
        <w:rPr>
          <w:b/>
        </w:rPr>
        <w:t>hennes²</w:t>
      </w:r>
      <w:r>
        <w:rPr>
          <w:b w:val="0"/>
        </w:rPr>
        <w:t xml:space="preserve"> tre minderåriga barn. Även statskontoret har anfört, att starka skäl synas vara anförda för att pension till </w:t>
      </w:r>
      <w:r>
        <w:rPr>
          <w:b/>
        </w:rPr>
        <w:t>änkan²</w:t>
      </w:r>
      <w:r>
        <w:rPr>
          <w:b w:val="0"/>
        </w:rPr>
        <w:t xml:space="preserve"> skulle utgå, och man framhåller, att </w:t>
      </w:r>
      <w:r>
        <w:rPr>
          <w:b/>
        </w:rPr>
        <w:t>hon²</w:t>
      </w:r>
      <w:r>
        <w:rPr>
          <w:b w:val="0"/>
        </w:rPr>
        <w:t xml:space="preserve"> är i avsaknad av ekonomiska tillgångar, vilket ju är fullt riktigt, och att </w:t>
      </w:r>
      <w:r>
        <w:rPr>
          <w:b/>
        </w:rPr>
        <w:t>hon²</w:t>
      </w:r>
      <w:r>
        <w:rPr>
          <w:b w:val="0"/>
        </w:rPr>
        <w:t xml:space="preserve"> enligt läkarbetyg har en i hög grad nedsatt synförmåga. Dessutom är att märka, att barnen äro rätt sjukliga; ett av dem ligger på sanatorium för vård. De kostnader, som för denna sanatorievård och för familjen i övrigt varit nödvändiga, ha hittills kunnat bestridas genom på frivillig väg insamlade medel. Statskontoret kommer alltså till det resultatet, att det synes vara med rättvisa och billighet överensstämmande, att pension i detta fall utgår. Högberg har ju icke varit så lång tid i direkt statstjänst, men han har varit lärare i kommunal mellanskola och även vikarierat såsom ämneslärare vid dylik skola. Han har under en lång följd av år sökt förvärva sig erforderliga kunskaper genom omfattande studieresor i utlandet; han var ju lärare i levande språk. Det har också sagts — vilket jag dock icke kan direkt garantera — att om den omorganisation av skolväsendet, som genomförts och som under längre tid varit på tal, icke hade försenat möjligheterna till fast anställning vid läroverken, kunde Högberg hava erhållit sådan anställning och alltså haft möjlighet att genom inbetalning till </w:t>
      </w:r>
      <w:r>
        <w:rPr>
          <w:b/>
        </w:rPr>
        <w:t>änkeoch²</w:t>
      </w:r>
      <w:r>
        <w:rPr>
          <w:b w:val="0"/>
        </w:rPr>
        <w:t xml:space="preserve"> pupillkassan förskaffa sina efterlevande pensioner enligt de grunder, som härvidlag äro fastställda. Det föreligger här ett synnerligen behjärtansvärt och ömmande fall, och jag vill för min del varmt vädja till kammarens ledamöter att bifalla den kungl. propositionen i ämnet.</w:t>
      </w:r>
    </w:p>
    <w:p>
      <w:pPr>
        <w:pStyle w:val="Heading2"/>
      </w:pPr>
      <w:r>
        <w:t>4. Lars Borggren (Socialdemokraterna, man)</w:t>
      </w:r>
    </w:p>
    <w:p>
      <w:r>
        <w:rPr>
          <w:b w:val="0"/>
        </w:rPr>
        <w:t>Herr talman! Jag vill icke bestrida vad den föregående ärade talaren sagt om att här föreligger ett ömmande fall. Men man kan icke bara taga hänsyn till sådant, utan man får även se till, huruvida man tidigare beviljat pensioner av denna beskaffenhet. Såsom av utredningen framgår, brukar riksdagen icke i dylika fall bevilja pensioner, i all synnerhet icke efter befattningshavare, som varit i statens tjänst så kort tid som denne befattningshavare — tre år. Jag undrar egentligen, huru den ärade motionären tänker sig behandlingen av sådana frågor, om man icke skall taga hänsyn till sådana synpunkter som tiden för statsanställningen. Det är från dessa utgångspunkter, som jag, herr talman, yrkar avslag på den kungl. propositionen och bifall till utskottets förslag.</w:t>
      </w:r>
    </w:p>
    <w:p>
      <w:pPr>
        <w:pStyle w:val="Heading2"/>
      </w:pPr>
      <w:r>
        <w:t>5. Claes Lindskog (Högerns riksdagsgrupp, man)</w:t>
      </w:r>
    </w:p>
    <w:p>
      <w:r>
        <w:rPr>
          <w:b w:val="0"/>
        </w:rPr>
        <w:t xml:space="preserve">Herr talman! Jag förstår fullkomligt väl de rent formellt alldeles riktiga synpunkter, som utskottet här gjort gällande och som kommit till uttryck i utlåtandet. Men jag vill säga, att om också utskottet ansett sig böra tillämpa dylika formella grunder, händer det icke så sällan, att kammaren och riksdagen anse sig vara i enstaka, synnerligen ömmande fall oförhindrade att gå in för ett beslut, som kanske strider mot vanliga principer men som ändå på grund av det alldeles speciella läget anses ligga utanför de vanliga råmärkena. Herr Hedlund har klart framhållit, huru utomordentligt behjärtansvärt det föreliggande fallet är. Därför skulle jag också vilja vädja till kammaren att med bortseende från den stränga formalismen tänka på att här föreligger ett fall, där verkligen de mänskliga synpunkterna böra göra sig gällande. Det synes mig alltså, att man bör låta denna </w:t>
      </w:r>
      <w:r>
        <w:rPr>
          <w:b/>
        </w:rPr>
        <w:t>änka²</w:t>
      </w:r>
      <w:r>
        <w:rPr>
          <w:b w:val="0"/>
        </w:rPr>
        <w:t xml:space="preserve"> med </w:t>
      </w:r>
      <w:r>
        <w:rPr>
          <w:b/>
        </w:rPr>
        <w:t>hennes²</w:t>
      </w:r>
      <w:r>
        <w:rPr>
          <w:b w:val="0"/>
        </w:rPr>
        <w:t xml:space="preserve"> tre barn få ett litet bidrag från det allmännas sida. Jag ber att få vädja till kammaren att med bortseende från de formella skälen, vilkas giltighet jag eljest fullkomligt inser och erkänner, bevilja det belopp, som humaniteten verkligen i förevarande fall kräver.</w:t>
      </w:r>
    </w:p>
    <w:p>
      <w:pPr>
        <w:pStyle w:val="Heading2"/>
      </w:pPr>
      <w:r>
        <w:t>6. Helge Bäcklund (Socialdemokraterna, man)</w:t>
      </w:r>
    </w:p>
    <w:p>
      <w:r>
        <w:rPr>
          <w:b w:val="0"/>
        </w:rPr>
        <w:t xml:space="preserve">Herr talman! Jag ber att få hänvisa till vad som förekom när vi behandlade principfrågan för en stund sedan. Då trodde man, att Kungl. Maj:t skulle kunna handlägga pensionsfrågor efter vissa regler. Nu ha vi här ett eklatant bevis på i vad mån detta går för sig, när departementschefen står här och vädjar till kammaren om att gå ifrån de principer, som omfattats vid föregående tillfällen, och att avslå utskottets förslag. Utskottet har dock i alla fall framhållit, att Högbergs sammanlagda tjänstetid endast utgör tre år. Jag tycker också, att det skulle se egendomligt ut, om andra kammaren, därför att en befattningshavare här har en något högre tjänsteställning, skulle gå in för att bevilja pensioner till hans </w:t>
      </w:r>
      <w:r>
        <w:rPr>
          <w:b/>
        </w:rPr>
        <w:t>änka²</w:t>
      </w:r>
      <w:r>
        <w:rPr>
          <w:b w:val="0"/>
        </w:rPr>
        <w:t xml:space="preserve"> och barn, när man avslår förslag om pensioner till lägre befattningshavare. Jag tänker på den reservation jag hade vid punkten 25. Det gällde där en fattig </w:t>
      </w:r>
      <w:r>
        <w:rPr>
          <w:b/>
        </w:rPr>
        <w:t>änka²</w:t>
      </w:r>
      <w:r>
        <w:rPr>
          <w:b w:val="0"/>
        </w:rPr>
        <w:t xml:space="preserve">, som var 58 år vid mannens dödsfall, som var sjuk och hade 15 kronor av kommunen i fattigvårdsunderstöd. </w:t>
      </w:r>
      <w:r>
        <w:rPr>
          <w:b/>
        </w:rPr>
        <w:t>Hon²</w:t>
      </w:r>
      <w:r>
        <w:rPr>
          <w:b w:val="0"/>
        </w:rPr>
        <w:t xml:space="preserve"> fick ingenting av staten. I det här fallet skulle man däremot gå in för att pensionera. Jag tycker inte, att det är alldeles riktigt att gå till väga på det sättet, utan jag tror, att det är utskottet, som härvidlag företräder de riktiga synpunkterna. Jag ber alltså att få yrka bifall till utskottets förslag.</w:t>
      </w:r>
    </w:p>
    <w:p>
      <w:pPr>
        <w:pStyle w:val="Heading2"/>
      </w:pPr>
      <w:r>
        <w:t>7. Samuel Hedlund (Jordbrukarnas fria grupp, man)</w:t>
      </w:r>
    </w:p>
    <w:p>
      <w:r>
        <w:rPr>
          <w:b w:val="0"/>
        </w:rPr>
        <w:t xml:space="preserve">Jag kan verkligen icke förstå herr Bäcklunds uppfattning i den här frågan, när han säger, att här gäller det att giva pension åt en »högre» befattningshavares efterlämnade </w:t>
      </w:r>
      <w:r>
        <w:rPr>
          <w:b/>
        </w:rPr>
        <w:t>änka²</w:t>
      </w:r>
      <w:r>
        <w:rPr>
          <w:b w:val="0"/>
        </w:rPr>
        <w:t xml:space="preserve">. Mannen i fråga var ju endast extralärare vid ett läroverk. Hans </w:t>
      </w:r>
      <w:r>
        <w:rPr>
          <w:b/>
        </w:rPr>
        <w:t>änka²</w:t>
      </w:r>
      <w:r>
        <w:rPr>
          <w:b w:val="0"/>
        </w:rPr>
        <w:t xml:space="preserve"> är visserligen ung, men </w:t>
      </w:r>
      <w:r>
        <w:rPr>
          <w:b/>
        </w:rPr>
        <w:t>hon²</w:t>
      </w:r>
      <w:r>
        <w:rPr>
          <w:b w:val="0"/>
        </w:rPr>
        <w:t xml:space="preserve"> är sjuklig och har enligt läkarintyg nedsatt synförmåga, så att </w:t>
      </w:r>
      <w:r>
        <w:rPr>
          <w:b/>
        </w:rPr>
        <w:t>hon²</w:t>
      </w:r>
      <w:r>
        <w:rPr>
          <w:b w:val="0"/>
        </w:rPr>
        <w:t xml:space="preserve"> t. ex. inte kan sy eller hjälpa till med någonting i det avseendet. </w:t>
      </w:r>
      <w:r>
        <w:rPr>
          <w:b/>
        </w:rPr>
        <w:t>Hon²</w:t>
      </w:r>
      <w:r>
        <w:rPr>
          <w:b w:val="0"/>
        </w:rPr>
        <w:t xml:space="preserve"> har tre minderåriga barn, det äldsta är fött 1918 och sjukligt. Jag har redan talat om, att vi ha samlat ihop medel däruppe för att hjälpa </w:t>
      </w:r>
      <w:r>
        <w:rPr>
          <w:b/>
        </w:rPr>
        <w:t>henne²</w:t>
      </w:r>
      <w:r>
        <w:rPr>
          <w:b w:val="0"/>
        </w:rPr>
        <w:t xml:space="preserve">. Boet var så fattigt, att </w:t>
      </w:r>
      <w:r>
        <w:rPr>
          <w:b/>
        </w:rPr>
        <w:t>hon²</w:t>
      </w:r>
      <w:r>
        <w:rPr>
          <w:b w:val="0"/>
        </w:rPr>
        <w:t xml:space="preserve"> inte ens hade medel att få sin avlidne man i graven utan det måste skrapas ihop pengar för detta ändamål. </w:t>
      </w:r>
      <w:r>
        <w:rPr>
          <w:b/>
        </w:rPr>
        <w:t>Hennes²</w:t>
      </w:r>
      <w:r>
        <w:rPr>
          <w:b w:val="0"/>
        </w:rPr>
        <w:t xml:space="preserve"> man stupade kan man säga på sin post, ty han fick hjärtslag under en lektion och måste föras medvetslös till sitt hem, där han efter några timmar avled.</w:t>
        <w:br/>
        <w:br/>
        <w:t>Det här är väl ändå ett fall, där man absolut måste säga, att verklig nöd är på färde, och det är endast tack vare sammanskott från personer däruppe, som man hittills kunnat hålla nöden borta från familjen. Det är därför oriktigt att säga, att det här råder något slags motsatsförhållande till det fall, som förut åberopats av herr Bäcklund. Jag vet mig aldrig ha varit motstån-</w:t>
        <w:br/>
        <w:br/>
        <w:t>dare till några pensioner åt änkor och föräldralösa barn. I sådana fall har 49. jag, oavsett vem det gällt, så snart jag känt mig övertygad om att man kunät filosojue</w:t>
        <w:br/>
        <w:br/>
        <w:t>nat åberopa verkliga skäl, varit med om att hjälpa. Här är ett ömmande fall, J.E. Högbergs det vill jag bestämt säga, att jag vill fortfarande vädja till kammaren att biänka och barn.</w:t>
      </w:r>
    </w:p>
    <w:p>
      <w:pPr>
        <w:pStyle w:val="Heading2"/>
      </w:pPr>
      <w:r>
        <w:t>8. Olof Nilsson (Socialdemokraterna, man)</w:t>
      </w:r>
    </w:p>
    <w:p>
      <w:r>
        <w:rPr>
          <w:b w:val="0"/>
        </w:rPr>
        <w:t xml:space="preserve">Herr talman! Det talades nyss om ömmande omfrbgteren d ständigheter, som motiverade ett litet understöd åt en </w:t>
      </w:r>
      <w:r>
        <w:rPr>
          <w:b/>
        </w:rPr>
        <w:t>änka²</w:t>
      </w:r>
      <w:r>
        <w:rPr>
          <w:b w:val="0"/>
        </w:rPr>
        <w:t xml:space="preserve">. Här föreligger ett </w:t>
      </w:r>
      <w:r>
        <w:rPr>
          <w:b/>
        </w:rPr>
        <w:t>änka²</w:t>
      </w:r>
      <w:r>
        <w:rPr>
          <w:b w:val="0"/>
        </w:rPr>
        <w:t xml:space="preserve">. i verklig mening ömmande fall, men icke desto mindre har utskottet enhälligt avstyrkt den begäran, som framställts om understöd åt den fattiga </w:t>
      </w:r>
      <w:r>
        <w:rPr>
          <w:b/>
        </w:rPr>
        <w:t>änka²</w:t>
      </w:r>
      <w:r>
        <w:rPr>
          <w:b w:val="0"/>
        </w:rPr>
        <w:t xml:space="preserve"> det här gäller. Jag vågar naturligtvis icke hoppas, att andra kammaren skall följa motionären här, och jag skall icke heller göra något yrkande, ty jag anser det fullkomligt lönlöst, men jag tycker ändå, att utskottets motivering är litet motbjudande. Utskottet säger sig nämligen vilja erinra om järnvägsstyrelsens riktlinjer för beviljande av understöd i dessa och liknande fall. Järnvägsstyrelsens motiv för att icke tillstyrka pensioner i dessa fall är endast det, att dessa järnvägsarbetare skulle vara lösligt anställda vid statens järnvägsbyggnader, och utskottet förklarar nu, att det »delar den av järnvägsstyrelsen sålunda uttalade uppfattningen». I detta fallet är det dock så, att den man, vars </w:t>
      </w:r>
      <w:r>
        <w:rPr>
          <w:b/>
        </w:rPr>
        <w:t>änka²</w:t>
      </w:r>
      <w:r>
        <w:rPr>
          <w:b w:val="0"/>
        </w:rPr>
        <w:t xml:space="preserve"> det här är fråga om, under livstiden arbetat i statens järnvägars tjänst i 31 år, och man kan alltså inte motivera ett avslag på en framställning om understöd åt hans </w:t>
      </w:r>
      <w:r>
        <w:rPr>
          <w:b/>
        </w:rPr>
        <w:t>änka²</w:t>
      </w:r>
      <w:r>
        <w:rPr>
          <w:b w:val="0"/>
        </w:rPr>
        <w:t xml:space="preserve"> med att </w:t>
      </w:r>
      <w:r>
        <w:rPr>
          <w:b/>
        </w:rPr>
        <w:t>hennes²</w:t>
      </w:r>
      <w:r>
        <w:rPr>
          <w:b w:val="0"/>
        </w:rPr>
        <w:t xml:space="preserve"> man endast kort tid varit anställd i järnvägens tjänst. Men icke desto mindre är det uteslutande denna lösliga anställning, som det heter, som varit motivet för att icke lämna någon hjälp. Det hade, menar jag, åtminstone varit mera uppmuntrande, om icke denna enligt min mening oriktiga motivering hade åtföljt utskottets hemställan. Jag har intet yrkande.</w:t>
      </w:r>
    </w:p>
    <w:p>
      <w:pPr>
        <w:pStyle w:val="Heading2"/>
      </w:pPr>
      <w:r>
        <w:t>9. Helge Bäcklund (Socialdemokraterna, man)</w:t>
      </w:r>
    </w:p>
    <w:p>
      <w:r>
        <w:rPr>
          <w:b w:val="0"/>
        </w:rPr>
        <w:t>Jag skulle inte ha begärt ordet i denna punkt, om inte den ärade motionären hade gjort gällande, att utskottet hade förebragt en oriktig motivering. Det har utskottet inte gjort, ty på sid. 8 i utlåtandet, där järnvägsstyrelsens yttrande är intaget, står det på följande sätt:</w:t>
        <w:br/>
        <w:br/>
        <w:t xml:space="preserve">»Styrelsen har också i förekommande fall avstyrkt framställningar om pension åt änkor efter dylika anställningshavare; och har sådan förmån ej heller hittills beviljats. — Å andra sidan böra, anser styrelsen, ej heller tjänstemännen vid statens järnvägsbyggnader inbegripas. De åtnjuta nämligen i form av högre avlöning än motsvarande tjänstemän vid statens järnvägar ersättning för att de ej äga medlemskap i statens järnvägars </w:t>
      </w:r>
      <w:r>
        <w:rPr>
          <w:b/>
        </w:rPr>
        <w:t>änkeoch²</w:t>
      </w:r>
      <w:r>
        <w:rPr>
          <w:b w:val="0"/>
        </w:rPr>
        <w:t xml:space="preserve"> pupillkassa och a i tillfälle att exempelvis genom försäkring skydda sina efterlevande.»</w:t>
        <w:br/>
        <w:br/>
        <w:t>Järnvägsstyrelsen har hela tiden principiellt motsatt sig, att arbetare och tjänstemän vid statens järnvägsbyggnader, på grund av deras särskilda avlöningsförhållanden, som icke överensstämma med dem, som gälla för järnvägens</w:t>
        <w:br/>
        <w:br/>
        <w:t>trafikpersonal, skulle komma i åtnjutande av dylika förmåner. Det är detta, som varit bestämmande för utskottet, och motiveringen är enligt min mening icke alls oriktig, då vi endast refererat till järnvägsstyrelsens ståndpunkt. Huruvida denna ståndpunkt kan anses vara alltför sträng, därom vill jag icke uttala mig, men utskottets motivering finnes det som sagt intet fel på, eftersom, utskottet endast hänvisat till vad järnvägsstyrelsen har sagt i sitt yttrande.</w:t>
      </w:r>
    </w:p>
    <w:p>
      <w:pPr>
        <w:pStyle w:val="Heading2"/>
      </w:pPr>
      <w:r>
        <w:t>10. Carl Wilhelm Oskar Höglund (Socialdemokraterna, man)</w:t>
      </w:r>
    </w:p>
    <w:p>
      <w:r>
        <w:rPr>
          <w:b w:val="0"/>
        </w:rPr>
        <w:t>Herr talman! Med anledning av vad som förekommit ber jag få fästa kammarens uppmärksamhet på den synnerligen knapphändiga motivering, som utskottet bestått min motion på denna punkt. Jag tycker verkligen, att denna motion är så berättigad, att jag icke kan underlåta att offra några ord på densamma, i förhoppning att kammaren, såsom ju skett i vissa fall, måtte behjärta denna framställning.</w:t>
        <w:br/>
        <w:br/>
        <w:t xml:space="preserve">Här är det på det sättet, att utskottet, på grund av att denna </w:t>
      </w:r>
      <w:r>
        <w:rPr>
          <w:b/>
        </w:rPr>
        <w:t>änka²</w:t>
      </w:r>
      <w:r>
        <w:rPr>
          <w:b w:val="0"/>
        </w:rPr>
        <w:t xml:space="preserve"> åtnjuter något understöd från kommunen, inskränkt sig till att med tre rader härom 1 motiveringen avstyrka motionen. Det gäller här en </w:t>
      </w:r>
      <w:r>
        <w:rPr>
          <w:b/>
        </w:rPr>
        <w:t>änka²</w:t>
      </w:r>
      <w:r>
        <w:rPr>
          <w:b w:val="0"/>
        </w:rPr>
        <w:t xml:space="preserve"> efter en arbetare vid kungl. telegrafverkets verkstad i Nynäshamn. Man kan nästan säga, att </w:t>
      </w:r>
      <w:r>
        <w:rPr>
          <w:b/>
        </w:rPr>
        <w:t>hennes²</w:t>
      </w:r>
      <w:r>
        <w:rPr>
          <w:b w:val="0"/>
        </w:rPr>
        <w:t xml:space="preserve"> man, då han den 3 juni 1928 drabbades av döden, föll på sin post. Intyget från verkstadsledningen visar, att han varit en skicklig arbetare, som alltid gjort sitt bästa för att utföra sig ålagda arbeten och under hela sin anställningstid iakttagit ett mycket hedrande uppförande. Jag skulle icke ha ifrågasatt något som helst understöd här, om det icke hade varit så, att </w:t>
      </w:r>
      <w:r>
        <w:rPr>
          <w:b/>
        </w:rPr>
        <w:t>änkan²</w:t>
      </w:r>
      <w:r>
        <w:rPr>
          <w:b w:val="0"/>
        </w:rPr>
        <w:t xml:space="preserve"> är sjuklig — </w:t>
      </w:r>
      <w:r>
        <w:rPr>
          <w:b/>
        </w:rPr>
        <w:t>hon²</w:t>
      </w:r>
      <w:r>
        <w:rPr>
          <w:b w:val="0"/>
        </w:rPr>
        <w:t xml:space="preserve"> har läkarbetyg på att </w:t>
      </w:r>
      <w:r>
        <w:rPr>
          <w:b/>
        </w:rPr>
        <w:t>hon²</w:t>
      </w:r>
      <w:r>
        <w:rPr>
          <w:b w:val="0"/>
        </w:rPr>
        <w:t xml:space="preserve"> är oförmögen till arbete — och har en sjuårig son. Jag menar således, att förhållandena, något som redan påpekas i den principiella motiveringen av betänkandet, äro sådana, att det föreligger ömmande skäl för beviljande av pension. Nu har </w:t>
      </w:r>
      <w:r>
        <w:rPr>
          <w:b/>
        </w:rPr>
        <w:t>änkan²</w:t>
      </w:r>
      <w:r>
        <w:rPr>
          <w:b w:val="0"/>
        </w:rPr>
        <w:t xml:space="preserve"> — vad skulle </w:t>
      </w:r>
      <w:r>
        <w:rPr>
          <w:b/>
        </w:rPr>
        <w:t>hon²</w:t>
      </w:r>
      <w:r>
        <w:rPr>
          <w:b w:val="0"/>
        </w:rPr>
        <w:t xml:space="preserve"> eljest leva på förresten, </w:t>
      </w:r>
      <w:r>
        <w:rPr>
          <w:b/>
        </w:rPr>
        <w:t>hon²</w:t>
      </w:r>
      <w:r>
        <w:rPr>
          <w:b w:val="0"/>
        </w:rPr>
        <w:t xml:space="preserve"> är ju medellös — råkat få 35 kronor i månaden i kommunalt understöd. Jag vågar säga, att den omständigheten</w:t>
        <w:br/>
        <w:br/>
        <w:t xml:space="preserve">naturligtvis icke utgör något skäl för riksdagen att avslå </w:t>
      </w:r>
      <w:r>
        <w:rPr>
          <w:b/>
        </w:rPr>
        <w:t>hennes²</w:t>
      </w:r>
      <w:r>
        <w:rPr>
          <w:b w:val="0"/>
        </w:rPr>
        <w:t xml:space="preserve"> framställning. Ett belopp på 35 kronor i månaden når ju icke på långt när upp till den pension på 384 kronor jämte dyrtidstillägg, som riksdagen i vanliga fall brukar bevilja änkor. Om nu dessa 35 kronor skulle räcka till nöds — det göra de icke, ty 35 kronor i månaden kan ingen människa nu för tiden leva på, men de bliva i alla fall till hjälp till </w:t>
      </w:r>
      <w:r>
        <w:rPr>
          <w:b/>
        </w:rPr>
        <w:t>hennes²</w:t>
      </w:r>
      <w:r>
        <w:rPr>
          <w:b w:val="0"/>
        </w:rPr>
        <w:t xml:space="preserve"> underhåll — så räcka de i varje fall icke till uppfostringsbidrag åt </w:t>
      </w:r>
      <w:r>
        <w:rPr>
          <w:b/>
        </w:rPr>
        <w:t>hennes²</w:t>
      </w:r>
      <w:r>
        <w:rPr>
          <w:b w:val="0"/>
        </w:rPr>
        <w:t xml:space="preserve"> minderårige son. Jag anser, att riksdagen utan att därför behöva gå principen att icke bevilja statsunderstöd, då kommunalt understöd utgår, för nära, kan gå med på det ändringsyrkande, som gjorts i reservationen.</w:t>
        <w:br/>
        <w:br/>
        <w:t xml:space="preserve">Jag vill ännu en gång understryka, att om man gör så, har man i alla fall icke gått emot den princip, som utskottet i år slagit in på, nämligen att något understöd från statens sida icke skall beviljas om ett aldrig så blygsamt understöd gives från kommunens sida. Jag kan för min del icke komma till den uppfattningen, att det understöd, som här givits från kommunens sida också gäller </w:t>
      </w:r>
      <w:r>
        <w:rPr>
          <w:b/>
        </w:rPr>
        <w:t>änkans²</w:t>
      </w:r>
      <w:r>
        <w:rPr>
          <w:b w:val="0"/>
        </w:rPr>
        <w:t xml:space="preserve"> son. Jag har själv varit i tillfälle, att bevittna vilken sorg och veklagan det blev i denna familj, då mannen gick bort, och att det här föreligger verkligen ömmande omständigheter. Det vågar jag vitsorda, och jag har icke kunnat underlåta att föra saken så långt som hit till andra kammaren just på grund härav och för att kunna bevisa, att jag för deras vidkommande sökt göra det bästa möjliga. Jag vill därför, herr talman, vädja till kammaren att besluta i överensstämmelse med den av mig och herr Bäcklund vid utskottets utlåtande fogade reservationen med den ändringen, att i stället för 120 kronor insättes 100 kronor. Denna ändring är gjord, därför att yrkandet i detta avseende går något utöver yrkandet i den av mig framlagda motionen, däri jag begär 100 kronor.</w:t>
      </w:r>
    </w:p>
    <w:p>
      <w:pPr>
        <w:pStyle w:val="Heading2"/>
      </w:pPr>
      <w:r>
        <w:t>11. Anders Paulsen (Socialdemokraterna, man)</w:t>
      </w:r>
    </w:p>
    <w:p>
      <w:r>
        <w:rPr>
          <w:b w:val="0"/>
        </w:rPr>
        <w:t xml:space="preserve">Herr talman! Jag kan egentligen icke förstå, vad det skall tjäna till att bifalla herr Höglunds reservation, ty om denna bifalles får </w:t>
      </w:r>
      <w:r>
        <w:rPr>
          <w:b/>
        </w:rPr>
        <w:t>änkan²</w:t>
      </w:r>
      <w:r>
        <w:rPr>
          <w:b w:val="0"/>
        </w:rPr>
        <w:t xml:space="preserve"> 120 kr. och den omyndige pojken 100 kr., vilket tillsammans utgör 220 kr. Nu har </w:t>
      </w:r>
      <w:r>
        <w:rPr>
          <w:b/>
        </w:rPr>
        <w:t>änkan²</w:t>
      </w:r>
      <w:r>
        <w:rPr>
          <w:b w:val="0"/>
        </w:rPr>
        <w:t xml:space="preserve"> redan ett understöd av 420 kr. om året från kommunen, d. v. s. 35 kr. i månaden. Om nu denna pension beviljas, så avlyfter man dessa 220 kr. från kommunen. Det är alltsammans. Om det hade varit så, att </w:t>
      </w:r>
      <w:r>
        <w:rPr>
          <w:b/>
        </w:rPr>
        <w:t>änkan²</w:t>
      </w:r>
      <w:r>
        <w:rPr>
          <w:b w:val="0"/>
        </w:rPr>
        <w:t xml:space="preserve"> hade kunnat få fullt understöd från staten och sluppit anlita fattigvården, skulle jag för min del varit med om yrkandet, men som frågan nu ställer sig, är det rakt ingen mening med att bevilja ifrågavarande motion.</w:t>
        <w:br/>
        <w:br/>
        <w:t>Jag ber att få yrka bifall till utskottets hemställan.</w:t>
      </w:r>
    </w:p>
    <w:p>
      <w:pPr>
        <w:pStyle w:val="Heading2"/>
      </w:pPr>
      <w:r>
        <w:t>12. Carl Wilhelm Oskar Höglund (Socialdemokraterna, man)</w:t>
      </w:r>
    </w:p>
    <w:p>
      <w:r>
        <w:rPr>
          <w:b w:val="0"/>
        </w:rPr>
        <w:t xml:space="preserve">Herr talman! Det är riktigt som den förre ärade talaren säger. </w:t>
      </w:r>
      <w:r>
        <w:rPr>
          <w:b/>
        </w:rPr>
        <w:t>Änkan²</w:t>
      </w:r>
      <w:r>
        <w:rPr>
          <w:b w:val="0"/>
        </w:rPr>
        <w:t xml:space="preserve"> får icke så mycket, som </w:t>
      </w:r>
      <w:r>
        <w:rPr>
          <w:b/>
        </w:rPr>
        <w:t>hon²</w:t>
      </w:r>
      <w:r>
        <w:rPr>
          <w:b w:val="0"/>
        </w:rPr>
        <w:t xml:space="preserve"> skulle få, om </w:t>
      </w:r>
      <w:r>
        <w:rPr>
          <w:b/>
        </w:rPr>
        <w:t>hon²</w:t>
      </w:r>
      <w:r>
        <w:rPr>
          <w:b w:val="0"/>
        </w:rPr>
        <w:t xml:space="preserve"> fick 384 kr. av riksdagen med ty åtföljande dyrtidstillägg. Jag vågar påstå, att det bidrag </w:t>
      </w:r>
      <w:r>
        <w:rPr>
          <w:b/>
        </w:rPr>
        <w:t>änkan²</w:t>
      </w:r>
      <w:r>
        <w:rPr>
          <w:b w:val="0"/>
        </w:rPr>
        <w:t xml:space="preserve"> får av kommunen icke sträcker sig till barnet. Jag har icke, som herr Paulsen säger, begärt 220 kr. till </w:t>
      </w:r>
      <w:r>
        <w:rPr>
          <w:b/>
        </w:rPr>
        <w:t>änkan²</w:t>
      </w:r>
      <w:r>
        <w:rPr>
          <w:b w:val="0"/>
        </w:rPr>
        <w:t xml:space="preserve">, jag har frånskilt </w:t>
      </w:r>
      <w:r>
        <w:rPr>
          <w:b/>
        </w:rPr>
        <w:t>änkan²</w:t>
      </w:r>
      <w:r>
        <w:rPr>
          <w:b w:val="0"/>
        </w:rPr>
        <w:t xml:space="preserve"> just på grund av detta understöd från kommunen, som </w:t>
      </w:r>
      <w:r>
        <w:rPr>
          <w:b/>
        </w:rPr>
        <w:t>hon²</w:t>
      </w:r>
      <w:r>
        <w:rPr>
          <w:b w:val="0"/>
        </w:rPr>
        <w:t xml:space="preserve"> uppbär, och inskränkt mig till att hemställa om 100 kr. till barnet, vilket jag icke anser ha fått något som helst bidrag till sin uppfostran. Det är alltså endast fråga om 100 kr. till barnet och icke några 220 kr. ytterligare till </w:t>
      </w:r>
      <w:r>
        <w:rPr>
          <w:b/>
        </w:rPr>
        <w:t>änkan²</w:t>
      </w:r>
      <w:r>
        <w:rPr>
          <w:b w:val="0"/>
        </w:rPr>
        <w:t>, som herr Paulsen på fri hand behagat räkna ut. Jag yrkar fortfarande, herr talman, bifall till reservationen med av mig förut angiven ändring.</w:t>
      </w:r>
    </w:p>
    <w:p>
      <w:pPr>
        <w:pStyle w:val="Heading2"/>
      </w:pPr>
      <w:r>
        <w:t>13. Anders Paulsen (Socialdemokraterna, man)</w:t>
      </w:r>
    </w:p>
    <w:p>
      <w:r>
        <w:rPr>
          <w:b w:val="0"/>
        </w:rPr>
        <w:t xml:space="preserve">Jag medgiver, att det förhåller sig så. som herr Höglund säger, att man i reservationen endast begär understöd till </w:t>
      </w:r>
      <w:r>
        <w:rPr>
          <w:b/>
        </w:rPr>
        <w:t>änkans²</w:t>
      </w:r>
      <w:r>
        <w:rPr>
          <w:b w:val="0"/>
        </w:rPr>
        <w:t xml:space="preserve"> barn, och att man frånfallit motionen i detta avseende. Men detta skulle ju ändå ytter-</w:t>
        <w:br/>
        <w:br/>
        <w:t xml:space="preserve">a Mete ligare försämra förhållandena. Tror verkligen herr Höglund, att kommunen, arbetaren C.4. SOM anser sig ha givit, vad som skulle räcka till både </w:t>
      </w:r>
      <w:r>
        <w:rPr>
          <w:b/>
        </w:rPr>
        <w:t>änkan²</w:t>
      </w:r>
      <w:r>
        <w:rPr>
          <w:b w:val="0"/>
        </w:rPr>
        <w:t xml:space="preserve"> och barnet, när</w:t>
        <w:br/>
        <w:br/>
        <w:t>de få veta, att de få statspension, skola underlåta att från understödet från</w:t>
        <w:br/>
        <w:br/>
      </w:r>
      <w:r>
        <w:rPr>
          <w:b/>
        </w:rPr>
        <w:t>änka²</w:t>
      </w:r>
      <w:r>
        <w:rPr>
          <w:b w:val="0"/>
        </w:rPr>
        <w:t xml:space="preserve"> och minkommunen draga av den summa, som kan beräknas tillkomma barnet? Det 207: tror jag är alldeles säkert, och då göra vi icke </w:t>
      </w:r>
      <w:r>
        <w:rPr>
          <w:b/>
        </w:rPr>
        <w:t>änkan²</w:t>
      </w:r>
      <w:r>
        <w:rPr>
          <w:b w:val="0"/>
        </w:rPr>
        <w:t xml:space="preserve"> någon tjänst genom att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1823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