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601</w:t>
      </w:r>
    </w:p>
    <w:p>
      <w:r>
        <w:rPr>
          <w:b/>
        </w:rPr>
        <w:t xml:space="preserve">Datum: </w:t>
      </w:r>
      <w:r>
        <w:t>1929-05-16</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John Almkvist (Frisinnade folkpartiet, man)</w:t>
      </w:r>
    </w:p>
    <w:p>
      <w:r>
        <w:rPr>
          <w:b w:val="0"/>
        </w:rPr>
        <w:t>Herr talman! När jag hörde herr statsrådet och chefen för ecklesiastikdepartementet svara på interpellationen, föreföll det mig, som om detta svar i ett avseende gav ett bestämt besked, nämligen när han förklarade, att han inte ville medverka till åtgärder för återinförande av utanläsning i skolorna av katekesen. Men samtidigt måste jag också erkänna, att det föreföll mig, som om svaret i annat avseende led av en viss dunkelhet, som gör att man ställer sig frågande inför vad som egentligen ligger där bakom, och det var, när han talade om, att undervisningsplanen lider av en oklarhet, som snarast möjligt bör avhjälpas. Sättet för avhjälpandet ville statsrådet dock icke för närvarande uttala sig om, utan önskade avvakta resultatet av skolöverstyrelsens utredning angående eventuellt behövliga förändringar i 1919 års undervisningsplan. Jag är rädd för, att statsrådet möjligen i detta avseende kommer att ta sitt uttalande till intäkt för åtgärder, som icke heller jag, i likhet med andra talare, anser mig kunna gilla. För denna min förklaring har jag emellertid långt ifrån samma motiv som herrar Oscar Olsson och Pauli. Jag tilllåter mig att med några få ord erinra om de omständigheter, som medverkade till att 1919 års undervisningsplan för kristendomsämnets del fick den avfattning, som den för närvarande har.</w:t>
        <w:br/>
        <w:br/>
        <w:t>Herrarna torde erinra sig, att början av detta århundrade karakteriserades av ateistiska strävanden i kulturvärlden, att dessa strävanden också kastade sina vågor in över Sverige samt att skvalpet därav även sköljde in i riksdagens kamrar och bland annat föranledde framställningar om införande av konfessionslös kristendomsundervisning. Detta var en grupp av omständigheter, som gjorde, att en revidering av gällande bestämmelser för kristendomsundervisningen i skolorna kom till stånd. Men samtidigt medverkade ett annat komplex av orsaker, och detta hade sin förankring hos i religiöst avseende intresserade grupper i samhället. När man började reflektera över, vad som kunde vara anledningarna till det bristande religiösa intresset hos vårt folk, vad som kunde vara orsaken till de sig allt mer och mer utbredande fritänkareåsikterna, när man vidare sökte finna botemedel mot den då för tiden grasserande och påtalade förvildningen bland ungdomen, så stannade man bland annat frågande inför kristendomsundervisningen i våra skolor. Man sporde: är denna undervisning så lagd, att den medför den karaktärsdaning, som ger människorna de förutsättningar, som äro nödvändiga för att de under sitt framtida liv skola kunna utföra gagnande gärningar, bilda sig en bärande livsåskådning? Under den kritik, som riktades mot den dåvarande kristendomsundervisningen i skolorna, kom man snart ganska enhälligt underfund med, att den utanläsning av katekesen och bibliska historien, som förekom, inte kunde anses vara personlighetsutvecklande på det sätt, som var nödvändigt för att ungdomen skulle kunna erhålla ett verkligt och tillräckligt religiöst underlag för sin fortsatta verksamhet i livet. Därför yrkade även många varmt kristna människor, att kristendomsundervisningen skulle omläggas, därvid bland annat katekesutanläsningen borde inskränkas eller helt borttagas. Deras utgångspunkter voro</w:t>
        <w:br/>
        <w:br/>
        <w:t>alltså helt andra än deras, som jag räknade till den förra gruppen, och syftet med deras medverkan var ock ett annat.</w:t>
        <w:br/>
        <w:br/>
        <w:t xml:space="preserve">Jag skulle från min egen erfarenhet, särskilt från det område, som omtalades av biskop Bergqvist, nämligen Västerbottens kustland, kunna anföra mycket talande exempel på, hur just i religiösa trakter, i trakter där Luthers katekes skattas högt, där befolkningen är vad man kallar gammallutheraner, de mest storartade övergrepp 1 fråga om själlös utanläsning av katekesen hava begåtts. Jag skall nämna ett par. I en by vägrade till exempel befolkningen att godkänna annan katekes än Svebilii katekes och samtidigt förklarades, att deras barn inte skulle få mottaga undervisning i naturkunnighet och historia. Jag kom vid ett annat tillfälle kl. 1 på dagen in i en skola i en annan by i en annan socken, men i samma kustland, och fann </w:t>
      </w:r>
      <w:r>
        <w:rPr>
          <w:b/>
        </w:rPr>
        <w:t>lärarinnan³</w:t>
      </w:r>
      <w:r>
        <w:rPr>
          <w:b w:val="0"/>
        </w:rPr>
        <w:t xml:space="preserve"> sysselsatt med undervisning i katekes. Jag frågade hur det kom sig, att sådan förekom denna tid på dagen, då enligt läsordningen kristendomsundervisning skulle äga rum första timmen på dagen. Jag fick till svar: Ja, vi ha inte hunnit igenom dagens läxa ännu. Vad betyder det? sade jag. Har </w:t>
      </w:r>
      <w:r>
        <w:rPr>
          <w:b/>
        </w:rPr>
        <w:t>lärarinnan³</w:t>
      </w:r>
      <w:r>
        <w:rPr>
          <w:b w:val="0"/>
        </w:rPr>
        <w:t xml:space="preserve"> verkligen sysslat med katekes hela dagen intill nu? Ja, med undantag av frukostrasten. Jag gjorde ingen anmärkning i barnens närvaro, utan tillät </w:t>
      </w:r>
      <w:r>
        <w:rPr>
          <w:b/>
        </w:rPr>
        <w:t>henne²</w:t>
      </w:r>
      <w:r>
        <w:rPr>
          <w:b w:val="0"/>
        </w:rPr>
        <w:t xml:space="preserve"> att fortsätta för att få en uppfattning av, hur denna undervisning bedrevs. Jag konstaterade så gott som omedelbart, att där förekom endast ett ordagrant förhörande av läxan, av det ena katekesstycket efter det andra, intill dess man inte stakade sig i fråga om ett enda ord. Jag frågade, om inte förklaringar förekommo, jag bad </w:t>
      </w:r>
      <w:r>
        <w:rPr>
          <w:b/>
        </w:rPr>
        <w:t>lärarinnan³</w:t>
      </w:r>
      <w:r>
        <w:rPr>
          <w:b w:val="0"/>
        </w:rPr>
        <w:t xml:space="preserve"> göra förklaringar och framställa frågor, som skulle visa, att barnen förstått vad de läste. De frågor, som framställdes, voro synnerligen tarvliga, och de svar som gåvos av barnen voro även torftiga. När sådant förekommer, är det givet, att kristendomsundervisningen inte får den lyftande och den utvecklande verkan, som den bör ha.</w:t>
        <w:br/>
        <w:br/>
        <w:t xml:space="preserve">Nu är detta enstaka exempel, men jag vill tala om, att de äro hämtade från en tid, som ligger efter 1919 års undervisningsplans tillkomst. Emellertid anser jag mig böra framhålla, att jag anser, att även i sådana fall, där ett avsteg från gällande bestämmelser sker på ett så flagrant sätt, som här ägde rum, så skall den, som har att övervaka, att bestämmelserna efterlevas, likväl gå fram med försiktighet och icke vidta bryska åtgärder, som inte kunna förstås av befolkningen och inte uppskattas av lärare och </w:t>
      </w:r>
      <w:r>
        <w:rPr>
          <w:b/>
        </w:rPr>
        <w:t>lärarinnor³</w:t>
      </w:r>
      <w:r>
        <w:rPr>
          <w:b w:val="0"/>
        </w:rPr>
        <w:t>.</w:t>
        <w:br/>
        <w:br/>
        <w:t>Menar herr statsrådet och chefen för ecklesiastikdepartementet med sitt uttalande om, att oklarhet råder beträffande undervisningsplanens bestämmelser rörande kristendomsundervisningen, att dessa så tolkas, att man i vissa skoldistrikt anser sig ha rätt, att låta barnen fortfarande läsa Luthers lilla katekes, så är detta riktigt, och även i sådana fall torde i regel från vederbörandes sida iakttagas nödig tolerans för undvikande av upprivande religiösa strider. Övergången till ett fullt genomförande av nya förordningar på ömtåliga områden bör få äga rum i lämpligt tempo. Man skall alltså icke varna för övergrepp blott från den ena sidan, man bör också varna för överilade och för alltför långt gående åtgärder från den andra sidan. Men uppenbart lagtrots måste naturligtvis beivras.</w:t>
        <w:br/>
        <w:br/>
        <w:t>När jag ser kristendomsundervisningen i skolorna från dessa synpunkter, så är det givet, att jag med stor betänksamhet skulle se, om 1919 års bestämmelser i något väsentligt avseende rubbades. Dock finns det ju en punkt, där redan vissa ändringar äro vidtagna, nämligen beträffande tiden, och jag anser, att en bearbetning av undervisningsplanen mycket väl kan och bör få ge till resultat, att de tider, som nu i många fall tillämpas men som bestämmas på grund av särskilda framställningar från skoldistriktens sida, i lag medges såsom utan vidare tillåtliga.</w:t>
        <w:br/>
        <w:br/>
        <w:t>När jag hörde herr Ljunglunds anförande, kunde jag i många avseenden in-</w:t>
        <w:br/>
        <w:br/>
        <w:t>stämma med honom, men jag gjorde samtidigt den reflexionen, att för alt nå Ang. det resultat ifråga om religionsundervisningen, som han åsyftade, är det inte fo kalkolana alls nödvändigt att läsa Luthers lilla katekes i folkskolan. Ett dylikt resultat i Iristondomg. kan nämligen, enligt min åsikt, nås på ett mera tillfredsställande sätt genom = kunskap. kristendomsundervisning av den art, som är anbefalld enligt 1919 års under- = (Forts) visningsplan. |</w:t>
      </w:r>
    </w:p>
    <w:p>
      <w:pPr>
        <w:pStyle w:val="Heading2"/>
      </w:pPr>
      <w:r>
        <w:t>2. Olof Bergqvist (Högerns riksdagsgrupp, man)</w:t>
      </w:r>
    </w:p>
    <w:p>
      <w:r>
        <w:rPr>
          <w:b w:val="0"/>
        </w:rPr>
        <w:t>Herr talman! Det kunde möjligen synas, som om ett yttrande av herr Almkvist i någon mån avsåg att korrigera vad jag sagt om kustbefolkningen i Västerbotten. Jag sade två ting om den. Jag sade, att det är en högst aktningsvärd befolkning, det var det ena. Det andra var, att kärleken till Luthers lilla katekes är mycket utbredd där. Nu föreföll det, som om befolkningens lojalitet möjligen skulle till en viss grad sättas i fråga av herr Almkvist. Men såvitt jag förstod, åsyftade han närmast blott de s. k. gammalseparatistiska eller gammallutherska kretsarna. Dessa äro numera synnerligen fåtaliga och försvinnande, och de besvärligheter man haft med dem och deras skolväsen både i Norrbotten och i Västerbotten äro snart övervunna. Jag tror mig således kunna fastslå, att man ej får tolka herr Almkvists yttrande som någon slags desavuering av vad jag sagt om Västerbottens befolkning.</w:t>
      </w:r>
    </w:p>
    <w:p>
      <w:pPr>
        <w:pStyle w:val="Heading2"/>
      </w:pPr>
      <w:r>
        <w:t>3. Gustav Möller (Socialdemokraterna, man)</w:t>
      </w:r>
    </w:p>
    <w:p>
      <w:r>
        <w:rPr>
          <w:b w:val="0"/>
        </w:rPr>
        <w:t>Herr talman! Jag har dristat mig att vid remissen av denna ” banken.</w:t>
        <w:br/>
        <w:br/>
        <w:t>proposition begära ordet, väsentligen därför att det efter min mening med förberedelserna till denna proposition varit förenade omständigheter, som måste påkalla mycket stor uppmärksamhet från riksdagens sida. Emellertid är det inte min avsikt att förhindra kammarens ledamöter från att få sin middagsmåltid i vanlig tid, och därför skall jag försöka att fatta mig mycket kort.</w:t>
        <w:br/>
        <w:br/>
        <w:t>Jag vill först och främst påpeka, att det socialdemokratiska partiet ju på intet sätt har uppträtt så, att det velat vålla den nu sittande regeringen några svårigheter, i vart fall några särskilda svårigheter. Vi befinna oss enligt sakens natur, på grund av de differenser i åskådning, som finnas mellan oss och högern, vilken ju regeringen ändå måste anses närmast representera, i oppositionsställning mot regeringen, men jag tror mig lugnt kunna säga, att vår opposition varit lagd på ett sådant sätt, att den inte onödigt skulle såra regeringen eller göra uttrycken för de sakliga meningsskiljaktligheter, som finnas mellan oss och den nuvarande regeringen, sådana, att de av regeringen skulle kunna uppfattas så som om vi alldeles särskilt traktade efter dess liv.</w:t>
        <w:br/>
        <w:br/>
        <w:t xml:space="preserve">Jag vill också påpeka, att det ju i vissa fall ser ut, som om det parti, som jag har äran att representera, skulle bli regeringens mest pålitliga stöd. J ag tänker på exempelvis två sådana ting som </w:t>
      </w:r>
      <w:r>
        <w:rPr>
          <w:b/>
        </w:rPr>
        <w:t>flickskoleorganisationen²</w:t>
      </w:r>
      <w:r>
        <w:rPr>
          <w:b w:val="0"/>
        </w:rPr>
        <w:t xml:space="preserve"> och bostadskrediten. Jag har ännu inte uppgett hoppet att man åtminstone i någon av dessa frågor väsentligen med socialdemokratisk hjälp skall kunna komma till ett positivt resultat. Men denna hållning, som motiverats av regeringens från början tillkännagivna avsikt att söka samförstånd med riksdagen i sitt arbete och vari man särskilt såg en bekräftelse i vissa ting, som skedde under den nuvarande socialministern egid, kan naturligtvis förbytas i sin motsats. om man får det bestämda intrycket, att regeringen eller åtminstone någon kraft inom regeringen så handhar sitt ämbete, att verkningarna av hans vårdslöshet bli skadliga för statens intressen. Det är min bestämda uppfattning, att den nuvarande finansministern vid handläggningen av det ärende, som angår Jord-</w:t>
        <w:br/>
        <w:br/>
        <w:t>brukarbanken, visat en sådan oskicklighet, att han tillfogat banken och därmed staten, eftersom det är statens bank, en absolut onödig och mycket betydande skada, som det nu är frågan om, hur man bäst skall kunna reparera. Som sagt, jag skall försöka att fatta mig mycket kort.</w:t>
        <w:br/>
        <w:br/>
        <w:t>Jag förmodar, att det finns en utgångspunkt, som är gemensam för oppositionen och regeringen ren angelägenhet av denna art. Nu är herr finansministern inte här, annars skulle jag verkligen vilja spörja honom, om han inte ungefär kan godkänna denna formulering av en finansministers uppgift i det speciella fall, det här gäller: en finansministers ledstjärna skall vara att tillgodose statens ekonomiska intressen och ägna omsorgsfull vård åt dess finanser. Det förefaller mig vara så självklart, att en sådan grundsats skall leda honom i hans arbete, att denna strängt taget inte borde kunna bli föremål för diskussion.</w:t>
        <w:br/>
        <w:br/>
        <w:t>Om det nu finns anledning att säga, att finansministerns eget uppträdande eller rättare hans underlåtenhet att uppträda skadat statens ekonomiska intressen och skadat statens finanser, så måste man ur konstaterandet av detta draga vissa bestämda slutsatser.</w:t>
        <w:br/>
        <w:br/>
        <w:t>Jag vill för det första understryka, att redan när Jordbrukarbanken bildades, hade banken vissa svaga engagemang. Det visste varje människa. Det, som vi fått veta den 29 april om denna sak, är något, som åtminstone många ledamöter av riksdagen, jag vet inte om det är alla, haft kännedom om ända sedan den dag, banken startades. Ingenting nytt i detta avseende har sedan starten inträffat. Vad som hänt är, att bankens ställning har år från år förbättrats, så att om banken skulle betraktas som mindre solid, var detta betraktelsesätt mycket mera berättigat 1923 än det är 1929.</w:t>
        <w:br/>
        <w:br/>
        <w:t>Såvitt jag inte är illa underrättad, har bland annat följande transaktion ägt rum, vilken måste vittna om en viss tillit till banken. Ett av de engagemang, som på sin tid övertogos av Kreditkassan vid Jordbrukarbankens bildande, har av Jordbrukarbanken återtagits. Så stark betraktades banken. Det var ett svagt engagemang, men det har återtagits för att Kreditkassan skulle kunna skaffa pengar vid sin räddningsaktion åt ett bankrutterat privatbanksföretag. Kreditkassan förfogade inte över tillräckliga medel, och Jordbrukarbanken deltog i räddningsaktionen på det sätt, att den tog tillbaka ett av sina svaga engagemang. Det var den inte skyldig till. Engagemanget kunde ha legat kvar i Kreditkassan, och då hade det inte kommit att belasta bankens portfölj. Jag nämner detta som exempel på, att man visserligen vetat om, att det finns svaga engagemang hos banken, men man har varit övertygad om att banken blivit solidare och kunde utsätta sig bland annat för en sådan transaktion som denna överflyttning.</w:t>
        <w:br/>
        <w:br/>
        <w:t>Så kom då det bekanta angreppet i Stockholms Dagblad. Jag vill på denna punkt säga, att om jag finge i min hand en stor stockholmstidning och ville använda denna stora stockholmstidning för att åstadkomma finansiell skada, och jag därjämte förstod att för mina syften skickligt utnyttja vissa kunskaper, som jag kunde sitta inne med, så finns kanske inte det bankföretag i Sverige, som jag inte skulle kunna vara i stånd att praktiskt taget skjuta i grund. Det är väl ingen, som vågat på allvar påstå, att inte varje banks portfölj innehåller svaga engagemang liksom starka engagemang.</w:t>
        <w:br/>
        <w:br/>
        <w:t>Det är inte så förfärligt lång tid sedan den bank, där den nuvarande regeringschefen då var ordförande, nödgades avskriva 120 miljoner, om jag minns rätt — det var i varje fall åtminstone 100 miljoner. Jag gör ingen indiskretion om jag säger, att landets största bank åtminstone under ett par års tid ansågs stå på rätt svaga fötter. Låt oss säga, att om det funnits en finanshaj, som haft ett tidningsföretag till förfogande i det ögonblicket, och som kunde ha knutit ihop en attack mot den banken med vissa möjligheter att åstadkom-</w:t>
        <w:br/>
        <w:br/>
        <w:t>ma någon nytta för sig själv, är det då någon här i kammaren, som inte vet, Kungl. propoatt han därmed kunde ha störtat banken? Det fanns den gången inte, såvitt nr Eng: : va o . os - . tebolaget jag förstår, denna sammanknytning av ett behärskande av den allmönna opi- Jordbrukarnionen å ena sidan och å den andra stora finansiella intressen. Det fanns ingen, «banken. som brydde sig om eller hade lust eller kaske inte heller något intresse att göra = (Forts.) attack på det sättet. Nu ha vi här i landet fått en företeelse, som vi se mera klart för första gången, nämligen att finansintresset begagnat sig av sin makt över ett pressorgan för att åstadkomma en effekt, denna gången skadlig för en bank och skadlig för staten.</w:t>
        <w:br/>
        <w:br/>
        <w:t>Nu vet jag inte, om man kan betrakta finansministern som representant för statens aktier i Jordbrukarbanken. Jag skall litet senare komma in på den frågan. Men om man får utgå ifrån, att han själv betraktar sig som representant för statens aktier i nämnda bank, och det får man väl antaga, då han trott sig kunna taga initiativ till försäljning av banken, om finansministern, säger jag, betraktar sig som bolagsstämma i Jordbrukarbanken, då hade han väl haft ett bestämt intresse, därest han velat sälja banken, och ett mycket stort intresse att se till, att priset på banken åtminstone blev så högt som möjligt. Detta var väl en skyldighet för honom, om han skulle tillvarataga statens intressen, jag menar om den första planen för försäljning skulle ha realiserats, att se till att banken under förhandlingarna om en sådan försäljning inte lede någon skada. Men det är väl uppenbart, att en bank lider skada, om man inte kan eller vill hejda en börjande insättarpanik. Det upplyses i denna proposition, att den 20 april har ordföranden i Jordbrukarbankens styrelse meddelat »att, under intrycket av den oro, som vållats av vissa sparbankers och Aktiebolaget Stockholms hypotekskassas iråkade obestånd, ävensom av vissa uttalanden i pressen, uttagningar under de närmast föregående dagarna ägt rum å insättarräkningar i banken i betydligt mer än normal utsträckning, och att, om sådana uttagningar skulle fortsätta och eventuellt taga ökad omfattning, detta förhållande icke kunde annat än ingiva vissa farhågor med hänsyn till bankens verksamhet». Jag föreställer mig, att bankens likviditet verkligen kunde blivit rubbad, något som väl vilken som helst banks likviditet under sådana förhållanden skulle ha blivit. Jag vågar påstå, att inte heller Enskilda banken skulle kunna stå emot en verklig insättarrusning. Och om likviditeten nu verkligen blivit rubbad på grund av rusningen, hade väl också det objekt, som herr finansministern hade planer på att försälja blivit ett mycket sämre objekt för köparna än det varit, om insättarrusningen omedelbart hejdats, och det kunde enligt min mening finansministern ha gjort.</w:t>
        <w:br/>
        <w:br/>
        <w:t>Emellertid är det inte bara denna varning, som kommit. Ordföranden i det socialdemokratiska partiet har nu i andra kammaren meddelat — jag visste det ju förut — att han redan den 27 april anhöll att få ställa en interpellation till finansministern. Finansministern borde omedelbart kunna svara för att ge de lugnande förklaringar, som krävdes, så att insättarrusningen inte skulle fortsätta. På detta svarade herr finansministern, att det kunde han inte göra, och till yttermera visso förklarade han, att han ansåg, att regeringens enda befattning med denna bank var att utse styrelse och revisorer, och sedan fingo de sköta banken, det angick inte regeringen. Ja, det är icke bara detta.</w:t>
        <w:br/>
        <w:br/>
        <w:t>Uti en tidning uppges det i dag, att riksbankschefen Kristi himmelsfärdsdag gjorde herr Wohlin allvarliga föreställningar om hans plikt att lugna insättarna. Nu har jag mig bekant på grund av en ren tillfällighet, att riksbankschefen inte bara då, utan åtminstone också vid ett annat tillfälle, har allvarligt framhållit för finansministern, att denne borde ingripa för att lugna insättarna.</w:t>
        <w:br/>
        <w:br/>
        <w:t>Tre varningar åtminstone äro alltså kända, tre påpekanden, tre hemställanden till finansministern att snabbt taga upp denna sak och se till, att han kunde</w:t>
        <w:br/>
        <w:br/>
        <w:t>Kungl. propolugna insättarna. Kan någon människa egentligen förklara, varför dessa lug-</w:t>
        <w:br/>
        <w:br/>
        <w:t>nande förklaringar inte kommit? För min del har jag försökt föreställa mig, hur finansministern har resonerat, men det är mig fullständigt obegripligt, huru han resonerat, därför att även om en del av Jordbrukarbankens aktiekapital kunde ha ansetts förbrukat, visste ju varenda människa, som kände till denna sak, att insättarna voro tryggade. Det fanns ingen anledning till någon som helst insättaroro. Det är väl inte möjligt, att vi för närvarande ha en finansminister, som inte förstår, att insättarna voro tryggade även på basis av de utredningar, han själv låtit verkställa? Det är väl inte möjligt? Skulle han då inte i statens eget intresse, även om han inte bekymrade sig om banken i och för sig, men i statens eget intresse, säger jag, och det vill jag understryka, ha avgivit de förklaringar, som voro så synnerligen önskvärda, i stället för att bara låta rusningen pågå?</w:t>
        <w:br/>
        <w:br/>
        <w:t>Det dokument, som föreligger i form av en kungl. proposition i denna sak, är enligt min mening absolut dömande för finansministern. Den 20 april får han den första underrättelsen. Den 14 maj, alltså omkring 24 dagar därefter. lämnas en lugnande förklaring i andra kammaren av statsministern. Så vitt inte ryktet tager alldeles fel, har herr finansministern under mellantiden inte ens varit att träffa, åtminstone i många fall, för bankstyrelsens ledamöter.</w:t>
        <w:br/>
        <w:br/>
        <w:t>Jag menar, att en sådan underlåtenhet är inte förenlig med statens intressen och de intressen, som herr finansministern har skyldighet att på sin nuvarande post svara för. Men det är inte bara detta, att det dröjt 24 dagar, innan man ansåg sig från regeringshåll böra avgiva någon sådan lugnande förklaring; utan samma statsråd, som har förklarat, att regeringens uppgift endast är att tillsätta styrelse och revisorer i banken och ingenting annat, han tager sedan i själva verket ett initiativ, som verkligen vittnar om en betydande kraft, och han tar detta initiativ, utan att ens rådföra sig med bankens styrelse. Det kan ju bero på, att han inte hyste något som helst förtroende för styrelsens eget omdöme om den bank, den hade att sköta. Jag vet inte ens, vad motiven varit. Men utan att ens tala vid denna styrelse, gör han upp med en rad av storbanker, att de skola få granska Jordbrukarbankens portfölj, och sedan endast underrättar han styrelsen om, att nu skall detta komma att ske. Och styrelsen följer hans anvisningar. Efter min uppfattning borde styrelsen den gången inte ha gjort det, men det är en annan sak. Styrelsen borde helt enkelt ha vägrat att på den punkten fungera. Det hade fått inkallas en extra bolagsstämma, där staten fått driva sin vilja igenom. Men även om styrelsen får anses ha varit alltför undfallande och svag på denna punkt, är det dock ett faktum, att finansministern tagit detta initiativ. Jag skall inte uppehålla mig — Just på grund av den långt framskridna tiden — vid vad detta i allmänhet betyder. Jag kan bara betrakta det som — jag vet inte hur man skall uttrycka sig — ett uttryck för någon slags alltför våldsam handlingskraft att vidtaga en sådan åtgärd utan att ens ha haft några verkliga överläggningar med bankens styrelse. Ty det säger sig självt, och vi veta ju, att det verkat på det sättet, att en av bankerna åtminstone i landsorten låtit Jordbrukarbankens kunder förstå, att nu skulle den övertaga Jordbrukarbanken, så att de kunde lika gärna i denna vecka flytta till denna bank som nästa vecka, och att det också i några fall verkligen lyckades att få Jordbrukarbankens kunder att överflytta till denna andra bank. Det uppges vara så pass faktiskt, att det knappast lär kunna bestridas.</w:t>
        <w:br/>
        <w:br/>
        <w:t>Jag ber bara nu att få sammanfatta vissa fakta. Tre personer, däribland riksbankens chef, ha uppmanat finansministern att lämna lugnande förklaringar. Det dröjde i 24 dagar, under vilken tid omkring 20 miljoner uttogos eller uppsades i Jordbrukarbanken, innan sådana lugnande förklaringar kommo. Skulle insättarrusningen ha fortsatt, så hade utan något tvivel banken</w:t>
        <w:br/>
        <w:br/>
        <w:t>gatt under. Det är självklart, och, som jag förut sagt, det skulle vilken bank Kungl: proposom helst ha gjort. Finansministerns egna åtgöranden bland annat ha Jagat Aktiebolaget upp den stämningen. Det är ett faktum, att sedan Nya Dagligt Allehanda för Jordbrukarnågra dagar sedan på ett rätt försåtligt sätt meddelade, att regeringen hade banken. för avsikt att framlägga proposition om bankens försäljning, ökades uttagnin- = (Forts.) garna alldeles oerhört. Och ändå förekom ingenting från regeringens sida! Det är efter min uppfattning så pass märkligt, eller rättare sagt det är ett sådant vårdslösande av statens uppenbara intressen, att det måste på det skarpaste sätt påtalas.</w:t>
        <w:br/>
        <w:br/>
        <w:t>Jag vill sluta med att säga, att det borde inte finnas något tvivel om att så länge staten äger aktierna i Jordbrukarbanken, så länge äro också insättarna tryggade i denna bank. En annan sak är om banken säljes, och hur det då går. Men så länge staten själv äger aktierna, är det uppenbart, att insättarna äro tryggade. Emellertid alldeles oavsett den ståndpunkten veta vi — Jag upprepar det — allesammans, att insättarna inte ha varit hotade, att hela paniken och rusningen också har varit absolut omotiverad, och det var därom herr finansministern hade haft skyldighet att underrätta den allmänna opinionen.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601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