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1849</w:t>
      </w:r>
    </w:p>
    <w:p>
      <w:r>
        <w:rPr>
          <w:b/>
        </w:rPr>
        <w:t xml:space="preserve">Datum: </w:t>
      </w:r>
      <w:r>
        <w:t>1930-03-03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 xml:space="preserve">Herr talman! Jag har begärt ordet för att (Forts) tillkännagiva, varför jag icke kunnat följa mina partivänner i första lagutskottet i deras åsikt om preventivlagen och varför jag står på deras sida, som ansett, att ett sunt upplysningsarbete beträffande preventiva medels användande måste anses vara enligt denna lag tillåtligt. Jag tillhörde 1923 den majoritet, som på förslag av herr Engberg begärde utredning, huruvida den nu gällande preventivlagen lade hinder i vägen för en vederhäftig upplysning i sexuella frågor. Herr Engberg ville hava utrett, huruvida lagen hindrade ett hygieniskt upplysningsarbete. Herr Engberg hade antagligen inspirerats av vissa läkare, som hade ett starkt intresse att få sprida upplysning i ämnet men vilka förklarade, att lagen hindrade dem från det. Kungl. Maj:t lät utreda detta. Utredningen gav till resultat — för så vitt lagrådet må betraktas som auktoritet beträffande lagars tolkning — att intet hinder förefinnes för ett sunt upplysningsarbete beträffande sexualhygieniska förhållanden och preventivmedels användning. Sedan har ingenting hänt mer än att de läkare, som önska sprida upplysning rörade sexuella saker, hava oförhindrat gjort det. Det finnes väl icke någon i denna kammare, som icke läst den broschyr, som en aktad läkare sänt ut i ämnet. När man läser den, är man på det klara med, att lagen icke hindrar vederbörande att sprida nödig upplysning beträffande preventiva medels användande 0. s. v. Jag fäster mig icke så mycket vid, att lagen kringgås beträffande annonsering om preventiva medel. Det är icke enligt min mening så farligt, som om jag skulle följa mina partivänner och taga bort den sista delen i den paragraf i strafflagen, som bestämmer straff för människor, som utan att vara lämpade härför ansvarslöst agitera för preventiva medelst användande. En sådan upplysningsverksamhet kan bliva sådan, att — jag försäkrar det — ingen familjefader skulle önska sina barn att taga uppfostran därav. Det är riktigt, att en lag bestämt förklarar, att upplysning i sexualhygieniska saker skall meddelas av vederhäftiga män och </w:t>
      </w:r>
      <w:r>
        <w:rPr>
          <w:b/>
        </w:rPr>
        <w:t>kvinnor¹</w:t>
      </w:r>
      <w:r>
        <w:rPr>
          <w:b w:val="0"/>
        </w:rPr>
        <w:t>. Det sker i våra dagar. Det rör endast läkarvetenskapen. Denna skall det vara förbehållet att sprida denna upplysning, och endast den kan göra det så, att det icke på något sätt blir sedlighetssårande. Men i vår tid, när vi alla anse oss kunna föreläsa i vilket som helst ämne, är det risk att lämna fältet öppet för var och en, som vill hava arvode från en föreläsningsförening, att få komponera föredrag i ett sådant publikämne som frågan om preventivmedels användande. Jag tror, att ingen, som kommit till den ålder, att preventiva medel behövas, svävar 1 okunnighet om var han skall köpa dem och huru de skola användas. Då förstår jag icke, varför man icke är nöjd med det upplysningsarbete, som läkarvetenskapen lämnar. Jag säger ännu en gång, att det verkligen icke är samhällsgagnande att låta var och en — det må vara i övrigt aldrig så framstående män — som icke har kvalifikationer för det, få behandla detta ämne. Jag vädjar till dem, som hava barn i minderårighetsåldern, huruvida det är lämpligt att låta vilken som helst föreläsa för vilka åldrar som helst och lämna upplysningar om dessa saker. Jag för min del skulle icke vilja släppa mina egna barn till en föreläsning för att åhöra föreläsningar av mig, herr Spångberg eller någon annan i detta ytterst delikata ämne. Ty vi kunna icke behandla ämnet så, att det icke skadar mera än det gagnar. Det är av denna anledning, herr talman, som jag icke kunnat biträda förslaget om att upphäva denna paragraf och än mindre kunnat gå med på reservationen</w:t>
        <w:br/>
        <w:br/>
        <w:t>I fråga om att lämna fältet öppet för vilken som helst att hålla föreläsningar i ämnet. Jag upphävande yrkar alltså bifall till utskottets hemställan.</w:t>
      </w:r>
    </w:p>
    <w:p>
      <w:pPr>
        <w:pStyle w:val="Heading2"/>
      </w:pPr>
      <w:r>
        <w:t>2. Axel Lindqvist (Socialdemokraterna, man)</w:t>
      </w:r>
    </w:p>
    <w:p>
      <w:r>
        <w:rPr>
          <w:b w:val="0"/>
        </w:rPr>
        <w:t>Herr talman! Man kan vara något tveksam om man skall svara herr Hedlund på hans anförande eller icke. Men jag kunde icke underlåta att begära ordet för att giva. uttryck åt den reflexion, som jag gjorde, när han talade. Det var det, att herr Hedlund har tydligen icke satt sig tillräckligt in i denna fråga. Han borde taga någon tid på sig, om han får tillfälle, och närmare tränga in i frågan. Hade han gjort det, hade han säkerligen icke hållit ett anförande sådant som det han här haft. Ty nu säger herr Hedlund, att det är läkarna, som skola bedriva den upplysningsverksamhet, som här är ifrågasatt och som herr Hedlund anser, att läkarna kunna med den nuvarande lagen utöva.</w:t>
        <w:br/>
        <w:br/>
        <w:t>Med anledning av detta herr Hedlunds anförande ber jag att få hänvisa till vad som finnes återgivet i första lagutskottets utlåtande på sidan 29, där det finnes ett uttalande av förre justitieministern Nothin. Efter utredning och efter konferenser med läkarna gjorde han ett uttalande, som jag skall tillåta mig att här läsa upp för att få det till protokollet gentemot herr Hedlunds anförande och påstående, att lagen nu är sådan, att läkarna kunna sprida sådan upplysning, som är erforderlig. Justitieministern Nothin säger vid detta tillfälle:</w:t>
        <w:br/>
        <w:br/>
        <w:t>»Medicinalstyrelsen har också i sitt utlåtande med beklagande framhållit, att lagens formulering är sådan, att en viss grad av tveksamhet kan råda, huruvida icke den, som fullt lojalt och i bästa avsikt verkar för spridandet av dylik kunskap, under vissa förhållanden kan bliva åtalad och måhända även dömd därför. Även av flera av de i övrigt i ärendet avgivna utlåtandena framgår — och ytterligare bekräftelse härå har vunnits vid en av mig anordnad konferens med ett antal läkare — att på läkarhåll så stor tvekan om lagligheten av en allmän upplysningsverksamhet beträffande preventivföremåls användande råder, att en sådan upplysningsverksamhet icke har utsikt att komma till stånd, med mindre ändring av ifrågavarande lagrum sker. Det torde vara ganska förklarligt, att våra läkare ansett sig böra undvika varje åtgärd, som kan uppfattas såsom stridande mot gällande lag.»</w:t>
        <w:br/>
        <w:br/>
        <w:t>Medicinalstyrelsen, som känner lagen minst lika bra som herr Hedlund, har sålunda den uppfattningen, att som lagen är skriven, kunna icke läkarna utföra den upplysningsverksamhet, som även de anse nödvändig.</w:t>
        <w:br/>
        <w:br/>
        <w:t xml:space="preserve">Längre fram i sitt anförande lägger herr Hedlund det så, att om lagen skulle ändras på det sätt, som reservanterna föreslå, så skulle man släppa lidelserna lösa; och det skulle vara farligt för ungdomen; och han vädjar särskilt till dem, som hava barn, unga pojkar och </w:t>
      </w:r>
      <w:r>
        <w:rPr>
          <w:b/>
        </w:rPr>
        <w:t>flickor²</w:t>
      </w:r>
      <w:r>
        <w:rPr>
          <w:b w:val="0"/>
        </w:rPr>
        <w:t>. Det skulle alltså vara farligt för dem, om lagen ändrades så, som föreslagits. Jag ber att få bringa i herr Hedlunds åtanke det uttalande, som justitieministern Nothin hade i detta fall. Han säger: »Den föregående utredningen giver enligt min uppfatning vid handen, att förevarande straffbestämmelse bör undergå sådan ändring, att det tydligt framgår, att en allvarlig och även till formen oantastlig framställning i förevarande ämne icke drabbas av ansvar.»</w:t>
        <w:br/>
        <w:br/>
        <w:t>Det är sålunda, herr Hedlund, icke fråga om att släppa vare sig det ena eller det andra löst. Ty att värna om ungdomen och det sedliga tillståndet i landet äro vi i lika hög grad angelägna, som herr Hedlund, fastän vi gå in för en ändring av denna 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