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623</w:t>
      </w:r>
    </w:p>
    <w:p>
      <w:r>
        <w:rPr>
          <w:b/>
        </w:rPr>
        <w:t xml:space="preserve">Datum: </w:t>
      </w:r>
      <w:r>
        <w:t>1930-04-03</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 man)</w:t>
      </w:r>
    </w:p>
    <w:p>
      <w:r>
        <w:rPr>
          <w:b w:val="0"/>
        </w:rPr>
        <w:t>Herr talman! Den proposition, som avses i min motion, festighet m.m. har till sina principer en vidsträckt och viktig betydelse. Den avser nämligen att gå ett steg längre fram beträffande den enskilda skogsvården. Den nuvarande skogsvårdslagstiftningen är byggd på en återväxtlag och dessutom genom skyddet för ungskog i någon mån på en lag i riktning mot uthållig skogshushållning. Nu har Kungl. Maj:t velat genomföra, att i visst fall, när det gäller lån mot inteckning i fastighet med skog, skall i kreditsyfte skogen kunna ställas under vad i propositionen kallas för uthållighetsbruk.</w:t>
        <w:br/>
        <w:br/>
        <w:t>Propositionen är således huvudsakligen en skogsvårdsproposition, men den har i alla fall remitterats till första lagutskottet, därför att det endast gäller fastighet, som är intecknad för ett visst lån.</w:t>
        <w:br/>
        <w:br/>
        <w:t>Emellertid måste man säga, att denna proposition rör både första lagutskottet och jordbruksutskottet, och jag är följaktligen övertygad om att den inte rimligen kan behandlas i första lagutskottet ensamt, utan av ett sammansatt första lagoch jordbruksutskott.</w:t>
        <w:br/>
        <w:br/>
        <w:t>När det förra året väcktes motion om uthållighetsskogsbruk på större skogar — en framställning, som andra kammaren mångfaldiga gånger har bifallit vid sekelskiftet men som de sista gångerna avslagits på förslag av ett enhälligt jordbruksutskott — sades dels, att sådant behöves inte längre, därför att vi ha nu en så bra skogsvårdslagstiftning, dels även — det var vice ordföranden i jordbruksutskottet, som sade det här i kammaren — att man inte ens visste, vad som menades med uthållig skogshushållning, vilket vi alla förstodo förr i tiden.</w:t>
        <w:br/>
        <w:br/>
        <w:t>Nu kommer Kungl. Maj:t och ger en grundlig bakläxa åt jordbruksutskottet beträffande dess utlåtande i fjol och säger, att det, för att skogen skall kunna ligga till grund för kredit, är alldeles nödvändigt, att man skapar en uthållig skogshushållning, medan krediten varar, för ett visst fall. Dessutom tar man på regeringshåll för givet, att alla människor begripa, vad som menas med uthållig skogshushållning.</w:t>
        <w:br/>
        <w:br/>
        <w:t>Jag har således fått vatten igen på min kvarn, och jag har begagnat tillfället att ytterligare utvidga propositionens omfattning. Propositionen syftar nämligen bara på ett visst bestämt och temporärt fall, då denna ökade skogsvård skulle äga rum. Men när lånet är inbetalt, skulle skogsvården upphöra. Mig har synts detta vara en alldeles för liten början till skapande av kredit även i skogskapitalet och framskridandet för ändamålet mot uthållighetsbruket. I motionen har därför till en början påyrkats dels en utvidgning av de lånesökande, som kunna ifrågakomma att skyddas av lagen, och dels rätt för en jordägare, som på detta sätt inrättat sin skogshushållning efter uthållighetsbruk, att få detta bibehållet och skyddat genom lag för eventuellt framtida kreditbehov.</w:t>
        <w:br/>
        <w:br/>
        <w:t>Därtill ha lagts två ytterligare yrkanden, om vilka talmannen hyser betänkligheter, huruvida de kunna anses falla inom propositionens ram. Jag anser, att de göra det, men olika uppfattningar ha sålunda yppats. Jag har nämligen yrkat dels lagstadgad »rätt för jordägare att, utan särskild uppgift om kreditsyfte, få sin fastighets skogsbruk genom lag bestående rationaliserat till uthållighetsbruk»; och dels »införande av uthållighetsbruk i allmänhet å enskilda skogar av större omfattning, varigenom först propositionens syfte om skogsvärdenas utnyttjande såsom grundval för fastighetskredit blir allmännyttigt och rationellt tillgodosett».</w:t>
        <w:br/>
        <w:br/>
        <w:t>Nu har, som sagt, talmannen ansett, att han ej kan remittera de två sista yrkandena, och då får jag för min del — ty det är ej värt att söka besvära kammaren med att taga position till den saken — härmed förklara, att jag återkallar de två sista yrkandena i min motion, nämligen 3 och 4 momenten.</w:t>
        <w:br/>
        <w:br/>
        <w:t>Den fråga, som beröres i fjärde momentet, om allmänt uthållighetsbruk på skogar av större omfattning, varigenom de bland annat skulle få ett allmänt och bestående kreditvärde, har jag väckt även i annan ordning vid denna riksdag och den motionen ligger i Jordbruksutskottet. Jag finner det då vara så mycket större anledning för första lagutskottet och även för jordbruksutskottet att inbjuda varandra till att i ett sammansatt utskott behandla dels min motion nr 269 om uthålligt skogsbruk på skogar av större omfattning, dels propositionen nr 218 och den i sammanhang därmed väckta motionen.</w:t>
        <w:br/>
        <w:br/>
        <w:t>Under förhoppning, att så kommer att ske, har jag som sagt, herr talman, Motion ang. böjt mig för talmannens mening och ber alltså att få återkalla punkterna 3 "ätten att</w:t>
        <w:br/>
        <w:br/>
        <w:t xml:space="preserve">ynnest och nådiga benägenhet med Gud Allsmäktig! Som Gud den Högste, efter Sitt allvisa råd, behagat denna dag klockan 7 eftermiddagen från det jordiska hädankalla Vår Högtälskade </w:t>
      </w:r>
      <w:r>
        <w:rPr>
          <w:b/>
        </w:rPr>
        <w:t>Fru²</w:t>
      </w:r>
      <w:r>
        <w:rPr>
          <w:b w:val="0"/>
        </w:rPr>
        <w:t xml:space="preserve"> Gemål, </w:t>
      </w:r>
      <w:r>
        <w:rPr>
          <w:b/>
        </w:rPr>
        <w:t>Hennes²</w:t>
      </w:r>
      <w:r>
        <w:rPr>
          <w:b w:val="0"/>
        </w:rPr>
        <w:t xml:space="preserve"> Majestät Sveriges Drottning Sophie Maria Victoria, född </w:t>
      </w:r>
      <w:r>
        <w:rPr>
          <w:b/>
        </w:rPr>
        <w:t>Prinsessa³</w:t>
      </w:r>
      <w:r>
        <w:rPr>
          <w:b w:val="0"/>
        </w:rPr>
        <w:t xml:space="preserve"> av Baden, så vilja Vi denna för Oss och hela landet högst smärtsamma förlust riksdagens första kammare härmed tillkännagiva. — Förvissade att Ni och alla Våra undersåtar varmt och innerligt deltaga i den djupa sorg, som drabbat Oss, Konungahuset och Riket, befalla Vi Eder härmed Gud Allsmäktig nådeligen.</w:t>
        <w:br/>
        <w:br/>
        <w:t>Vi förbliva Eder med all Kungl. nåd och ynnest städse välbevågen.</w:t>
        <w:br/>
        <w:br/>
        <w:t>Min allernådigste Konungs och Herres frånvaro:</w:t>
      </w:r>
    </w:p>
    <w:p>
      <w:pPr>
        <w:pStyle w:val="Heading2"/>
      </w:pPr>
      <w:r>
        <w:t>2. Axel Vennersten (Första kammarens nationella parti, man)</w:t>
      </w:r>
    </w:p>
    <w:p>
      <w:r>
        <w:rPr>
          <w:b w:val="0"/>
        </w:rPr>
        <w:t xml:space="preserve">Ärade ledamöter av denna kammare! Det dödsbud, som nu nått oss, var icke oväntat men ändock djupt smärtsamt. </w:t>
      </w:r>
      <w:r>
        <w:rPr>
          <w:b/>
        </w:rPr>
        <w:t>Hennes²</w:t>
      </w:r>
      <w:r>
        <w:rPr>
          <w:b w:val="0"/>
        </w:rPr>
        <w:t xml:space="preserve"> Majestät Drottning Victoria hädankallades efter ett långvarigt med beundransvärt tålamod och en till synes aldrig svikande själsstyrka buret lidande.</w:t>
        <w:br/>
        <w:br/>
        <w:t xml:space="preserve">Drottningen föddes och fostrades i ett lyckligt hem, där pliktuppfyllelsen var högsta lag, och kom som Sveriges unga </w:t>
      </w:r>
      <w:r>
        <w:rPr>
          <w:b/>
        </w:rPr>
        <w:t>Kronprinsessa³</w:t>
      </w:r>
      <w:r>
        <w:rPr>
          <w:b w:val="0"/>
        </w:rPr>
        <w:t xml:space="preserve"> att själv bli medelpunkten i ett annat, eget lyckligt hem, där hemmets alla dygder vördades och övades och där dess ansvarsfulla plikter värdigt och framgångsrikt fylldes.</w:t>
        <w:br/>
        <w:br/>
        <w:t xml:space="preserve">Tyvärr skulle den ljusa familjetavlan snart överskuggas av det lidande, som sedan blev livslångt. På detta sätt härdad i lidandets skola blev Drottningen om möjligt i ännu högre grad än kanske annars skett den de lidandes och de betrycktas förstående vän och hjälpare, som </w:t>
      </w:r>
      <w:r>
        <w:rPr>
          <w:b/>
        </w:rPr>
        <w:t>hon²</w:t>
      </w:r>
      <w:r>
        <w:rPr>
          <w:b w:val="0"/>
        </w:rPr>
        <w:t xml:space="preserve"> dock alltifrån sin tidigaste ungdom önskat vara, då </w:t>
      </w:r>
      <w:r>
        <w:rPr>
          <w:b/>
        </w:rPr>
        <w:t>hon²</w:t>
      </w:r>
      <w:r>
        <w:rPr>
          <w:b w:val="0"/>
        </w:rPr>
        <w:t xml:space="preserve"> vid ett minnesrikt tillfälle i livet av en mild försyn utbad sig ett älskande, medlidsamt, lydigt och ödmjukt hjärta.</w:t>
        <w:br/>
        <w:br/>
        <w:t xml:space="preserve">Stor är säkerligen också sorgen i allt Sveriges land över den förlust, som vi alla lidit, och saknaden har dragit in i de tusende hemmen, alltifrån de nordligaste ödebygderna med deras glesa befolkning ned till de tättbefolkade bygderna i söder och till den solbelysta ö, som så starkt fängslade Drottningens sinne, den ö, där </w:t>
      </w:r>
      <w:r>
        <w:rPr>
          <w:b/>
        </w:rPr>
        <w:t>hon²</w:t>
      </w:r>
      <w:r>
        <w:rPr>
          <w:b w:val="0"/>
        </w:rPr>
        <w:t xml:space="preserve"> med sin skönhetsträngtande ande beredde sig ett vär-</w:t>
        <w:br/>
        <w:br/>
        <w:t xml:space="preserve">digt sommarhem, präglat av den förnäma ro, som var ett utmärkande särdrag hos Drottningen, men där </w:t>
      </w:r>
      <w:r>
        <w:rPr>
          <w:b/>
        </w:rPr>
        <w:t>hon²</w:t>
      </w:r>
      <w:r>
        <w:rPr>
          <w:b w:val="0"/>
        </w:rPr>
        <w:t xml:space="preserve"> samtidigt även ville bereda sina vilobehövande medmänniskor samma förmån och samma glädje.</w:t>
        <w:br/>
        <w:br/>
        <w:t>Jag är övertygad om, att vi nu alla vilja tills Hans Majestät Konungen och hela det kungliga huset framföra uttrycken av vår medkänsla i den tunga prövning, som drabbat Konung och konungahus.</w:t>
        <w:br/>
        <w:br/>
        <w:t xml:space="preserve">Som en ädel och stolt gestalt går Drottning Victoria in i historien, en värdig Gustav Vasas ättling. </w:t>
      </w:r>
      <w:r>
        <w:rPr>
          <w:b/>
        </w:rPr>
        <w:t>Hennes²</w:t>
      </w:r>
      <w:r>
        <w:rPr>
          <w:b w:val="0"/>
        </w:rPr>
        <w:t xml:space="preserve"> ljusa minne skola vi säkerligen alla bevara i tacksamma hjärtan.</w:t>
      </w:r>
    </w:p>
    <w:p>
      <w:pPr>
        <w:pStyle w:val="Heading2"/>
      </w:pPr>
      <w:r>
        <w:t>3. August Nilsson (Socialdemokraterna, man)</w:t>
      </w:r>
    </w:p>
    <w:p>
      <w:r>
        <w:rPr>
          <w:b w:val="0"/>
        </w:rPr>
        <w:t xml:space="preserve">Med anledning av det sorgebud, som blivit oss meddelat. hemställer jag, att kammaren behagade uppdraga åt sin talman att till Hans Majestät Konungen, Deras Kungl. Högheter Kronprinsen-regenten och </w:t>
      </w:r>
      <w:r>
        <w:rPr>
          <w:b/>
        </w:rPr>
        <w:t>Kronprinsessan³</w:t>
      </w:r>
      <w:r>
        <w:rPr>
          <w:b w:val="0"/>
        </w:rPr>
        <w:t xml:space="preserve"> samt den övriga kungl. familjen framföra kammarens deltagande i den sorg, som drabbat dem och 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