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659</w:t>
      </w:r>
    </w:p>
    <w:p>
      <w:r>
        <w:rPr>
          <w:b/>
        </w:rPr>
        <w:t xml:space="preserve">Datum: </w:t>
      </w:r>
      <w:r>
        <w:t>1931-04-18</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Rosen (Frisinnade folkpartiet, man)</w:t>
      </w:r>
    </w:p>
    <w:p>
      <w:r>
        <w:rPr>
          <w:b w:val="0"/>
        </w:rPr>
        <w:t xml:space="preserve">Jag ber att få lämna den upplysningen, att det av mig åsyftade fallet inträffade 1920 och gällde, som jag nämnde, </w:t>
      </w:r>
      <w:r>
        <w:rPr>
          <w:b/>
        </w:rPr>
        <w:t>änkan²</w:t>
      </w:r>
      <w:r>
        <w:rPr>
          <w:b w:val="0"/>
        </w:rPr>
        <w:t xml:space="preserve"> efter en extra jägmästare, vilken dog vid 32 !/2» års ålder. J ag kan inte för ögonblicket 1 handlingarna återfinna </w:t>
      </w:r>
      <w:r>
        <w:rPr>
          <w:b/>
        </w:rPr>
        <w:t>änkans²</w:t>
      </w:r>
      <w:r>
        <w:rPr>
          <w:b w:val="0"/>
        </w:rPr>
        <w:t xml:space="preserve"> ålder, men jag är övertygad om, att </w:t>
      </w:r>
      <w:r>
        <w:rPr>
          <w:b/>
        </w:rPr>
        <w:t>hon²</w:t>
      </w:r>
      <w:r>
        <w:rPr>
          <w:b w:val="0"/>
        </w:rPr>
        <w:t xml:space="preserve"> inte var mer än 27 år, som jag nämnde. </w:t>
      </w:r>
      <w:r>
        <w:rPr>
          <w:b/>
        </w:rPr>
        <w:t>Hon²</w:t>
      </w:r>
      <w:r>
        <w:rPr>
          <w:b w:val="0"/>
        </w:rPr>
        <w:t xml:space="preserve"> fick 500 kronor i </w:t>
      </w:r>
      <w:r>
        <w:rPr>
          <w:b/>
        </w:rPr>
        <w:t>änkepension²</w:t>
      </w:r>
      <w:r>
        <w:rPr>
          <w:b w:val="0"/>
        </w:rPr>
        <w:t xml:space="preserve">, så länge </w:t>
      </w:r>
      <w:r>
        <w:rPr>
          <w:b/>
        </w:rPr>
        <w:t>hon²</w:t>
      </w:r>
      <w:r>
        <w:rPr>
          <w:b w:val="0"/>
        </w:rPr>
        <w:t xml:space="preserve"> förblev i </w:t>
      </w:r>
      <w:r>
        <w:rPr>
          <w:b/>
        </w:rPr>
        <w:t>änkestånd²</w:t>
      </w:r>
      <w:r>
        <w:rPr>
          <w:b w:val="0"/>
        </w:rPr>
        <w:t xml:space="preserve">, och vartdera av barnen 125 kronor. Mannen hade varit anställd, som jag nämnde, mycket kort tid i statens tjänst. Jag vill tillägga, att ifrågavarande </w:t>
      </w:r>
      <w:r>
        <w:rPr>
          <w:b/>
        </w:rPr>
        <w:t>änka²</w:t>
      </w:r>
      <w:r>
        <w:rPr>
          <w:b w:val="0"/>
        </w:rPr>
        <w:t xml:space="preserve"> hade en plats, på vilken </w:t>
      </w:r>
      <w:r>
        <w:rPr>
          <w:b/>
        </w:rPr>
        <w:t>hon²</w:t>
      </w:r>
      <w:r>
        <w:rPr>
          <w:b w:val="0"/>
        </w:rPr>
        <w:t xml:space="preserve"> uppbar en lön av 50 kronor per månad.</w:t>
      </w:r>
    </w:p>
    <w:p>
      <w:pPr>
        <w:pStyle w:val="Heading2"/>
      </w:pPr>
      <w:r>
        <w:t>2. Olof Olsson (Socialdemokraterna, man)</w:t>
      </w:r>
    </w:p>
    <w:p>
      <w:r>
        <w:rPr>
          <w:b w:val="0"/>
        </w:rPr>
        <w:t>Herr talman! Innan vi gå till votering, som det naturligtvis blir, skulle Jag vilja, att vi allesammans försökte att avlyfta ur vårt minne allt sådant, som inte hör till detta ärende. Vad vi egentligen ha att se till nu, det är, att vi göra en rättvis och god gärning. Det har för herr Johanssons i Östersund reservation framförts så många riktiga — sanna och humana — synpunkter från olika talare här i kammaren, att vi mycket Iugnt kunna sluta oss kring den reservationen, till vilken jag också, herr talman, ber att få yrka bifall.</w:t>
      </w:r>
    </w:p>
    <w:p>
      <w:pPr>
        <w:pStyle w:val="Heading2"/>
      </w:pPr>
      <w:r>
        <w:t>3. Johan Johnsson (Socialdemokraterna, man)</w:t>
      </w:r>
    </w:p>
    <w:p>
      <w:r>
        <w:rPr>
          <w:b w:val="0"/>
        </w:rPr>
        <w:t xml:space="preserve">Jag kan inte underlåta att såsom ledamot av bankoutskottet för kammaren framhålla, hur farligt det är att fästa avseende vid sådana fall, som herr Rosén senast åberopade. Jag var inte närvarande, då det behandlades, och kan inte erinra mig saken närmare, så länge sedan som det är, men jag vill säga, att skulle kammaren ytterligare en gång fatta ett sådant beslut, så kommer det att åberopas i fortsättningen. De principiella synpunkterna stå fast, inte minst för bankoutskottets ledamöter, då det gäller att ta ställning till dylika frågor. Det har inte förekommit inom utskottet, herr talman, att vi pensionerat en </w:t>
      </w:r>
      <w:r>
        <w:rPr>
          <w:b/>
        </w:rPr>
        <w:t>änka²</w:t>
      </w:r>
      <w:r>
        <w:rPr>
          <w:b w:val="0"/>
        </w:rPr>
        <w:t>, som varit så ung som 38 år, och detta blir ett precedensfall. Inte heller har docenten Sköld varit 1 ordinarie statstjänst, utan han har endast varit docent vid universitetet i åtta år, så att även i det avseendet skulle man gå in för helt och hållet nya principer.</w:t>
        <w:br/>
        <w:br/>
        <w:t>Jag yrkar bifall till utskottets hemställan.</w:t>
      </w:r>
    </w:p>
    <w:p>
      <w:pPr>
        <w:pStyle w:val="Heading2"/>
      </w:pPr>
      <w:r>
        <w:t>4. Gustav Rosen (Frisinnade folkpartiet, man)</w:t>
      </w:r>
    </w:p>
    <w:p>
      <w:r>
        <w:rPr>
          <w:b w:val="0"/>
        </w:rPr>
        <w:t xml:space="preserve">Det av mig åsyftade fallet var inte enastående. I den motion, som bankoutskottet avtryckte i sitt utlåtande, nämnes det att 1919 års riksdag beslöt i överensstämmelse med Kungl. Maj:ts proposition att bevilja </w:t>
      </w:r>
      <w:r>
        <w:rPr>
          <w:b/>
        </w:rPr>
        <w:t>änkan²</w:t>
      </w:r>
      <w:r>
        <w:rPr>
          <w:b w:val="0"/>
        </w:rPr>
        <w:t xml:space="preserve"> efter en lantmäteriauskultant Wennerström 500 kronors pension och </w:t>
      </w:r>
      <w:r>
        <w:rPr>
          <w:b/>
        </w:rPr>
        <w:t>hennes²</w:t>
      </w:r>
      <w:r>
        <w:rPr>
          <w:b w:val="0"/>
        </w:rPr>
        <w:t xml:space="preserve"> barn 125 kronor vartdera. Det tycks ha förekommit många sådana fall. Det dT bara det, att bankoutskottet inte haft fullt klart för sig, hur det ligger till.</w:t>
      </w:r>
    </w:p>
    <w:p>
      <w:pPr>
        <w:pStyle w:val="Heading2"/>
      </w:pPr>
      <w:r>
        <w:t>5. Ernst Trygger (Högerns riksdagsgrupp, man)</w:t>
      </w:r>
    </w:p>
    <w:p>
      <w:r>
        <w:rPr>
          <w:b w:val="0"/>
        </w:rPr>
        <w:t xml:space="preserve">Herr talman! Detta fall är alldeles analogt med det, som vi nyss avgjorde. Denne docent Söderström var en eminent framstående vetenskapsman, och som jag nyss sade dog han, under det han sökte en professur, och rycktes ifrån sin familj, som är i synnerligen små omständigheter, vilket herrarna kunna se av handlingarna. För min del tillstyrkte jag hos Kungl. Maj:t en pension för </w:t>
      </w:r>
      <w:r>
        <w:rPr>
          <w:b/>
        </w:rPr>
        <w:t>änkan²</w:t>
      </w:r>
      <w:r>
        <w:rPr>
          <w:b w:val="0"/>
        </w:rPr>
        <w:t xml:space="preserve"> och barnen, likadan som den, som jag tillstyrkte för docenten Sköld, och bankoutskottet har, som herrarna se, ställt dem båda lika. Bankoutskottet ger emellertid ingenting till någondera </w:t>
      </w:r>
      <w:r>
        <w:rPr>
          <w:b/>
        </w:rPr>
        <w:t>änkan²</w:t>
      </w:r>
      <w:r>
        <w:rPr>
          <w:b w:val="0"/>
        </w:rPr>
        <w:t xml:space="preserve">, men däremot till barnen 384 kronor för vart och ett, tills de bli 18 år. Nu har emellertid kammaren beslutat att ge 600 kronor till Skölds </w:t>
      </w:r>
      <w:r>
        <w:rPr>
          <w:b/>
        </w:rPr>
        <w:t>änka²</w:t>
      </w:r>
      <w:r>
        <w:rPr>
          <w:b w:val="0"/>
        </w:rPr>
        <w:t xml:space="preserve">, och man kan ej komma ifrån, att det skulle förefalla bra orättvist, ifall inte </w:t>
      </w:r>
      <w:r>
        <w:rPr>
          <w:b/>
        </w:rPr>
        <w:t>änkan²</w:t>
      </w:r>
      <w:r>
        <w:rPr>
          <w:b w:val="0"/>
        </w:rPr>
        <w:t xml:space="preserve"> efter docenten Söderström också fick ett belopp av 600 kronor. Jag vill nämna, att det har väckts en motion i andra kammaren av herr Thomson, som yrkar, att </w:t>
      </w:r>
      <w:r>
        <w:rPr>
          <w:b/>
        </w:rPr>
        <w:t>änkan²</w:t>
      </w:r>
      <w:r>
        <w:rPr>
          <w:b w:val="0"/>
        </w:rPr>
        <w:t xml:space="preserve"> skulle få 1,200 kronor i pension och vartdera barnet 600 kronor.</w:t>
        <w:br/>
        <w:br/>
        <w:t xml:space="preserve">Jag vädjar till kammaren, huruvida inte rättvisan kräver, att vi liksom utskottet ställa dessa båda fall lika, och hemställer därför, med stöd av denna motion, att docenten vid universitetet i Uppsala Adolf Fredrik Söderströms </w:t>
      </w:r>
      <w:r>
        <w:rPr>
          <w:b/>
        </w:rPr>
        <w:t>änka²</w:t>
      </w:r>
      <w:r>
        <w:rPr>
          <w:b w:val="0"/>
        </w:rPr>
        <w:t xml:space="preserve"> Margit Söderström, född Elg, och makarnas tre minderåriga barn Gustaf Fredrik, Johan Axel och Nils Adolf må från och med den 1 oktober 1930 å allmänna indragningsstaten uppbära, </w:t>
      </w:r>
      <w:r>
        <w:rPr>
          <w:b/>
        </w:rPr>
        <w:t>änkan²</w:t>
      </w:r>
      <w:r>
        <w:rPr>
          <w:b w:val="0"/>
        </w:rPr>
        <w:t xml:space="preserve"> en årlig pension av 600 kronor under sin återstående livstid, så länge </w:t>
      </w:r>
      <w:r>
        <w:rPr>
          <w:b/>
        </w:rPr>
        <w:t>hon²</w:t>
      </w:r>
      <w:r>
        <w:rPr>
          <w:b w:val="0"/>
        </w:rPr>
        <w:t xml:space="preserve"> förbliver </w:t>
      </w:r>
      <w:r>
        <w:rPr>
          <w:b/>
        </w:rPr>
        <w:t>änka²</w:t>
      </w:r>
      <w:r>
        <w:rPr>
          <w:b w:val="0"/>
        </w:rPr>
        <w:t>, samt vart och ett av de minderåriga barnen ett årligt uppfostringsbidrag av 384 kronor till och med utgången av det kalenderår, under vilket barnet uppnår 18 års ålder.</w:t>
      </w:r>
    </w:p>
    <w:p>
      <w:pPr>
        <w:pStyle w:val="Heading2"/>
      </w:pPr>
      <w:r>
        <w:t>6. Carl Svensson (Socialdemokraterna, man)</w:t>
      </w:r>
    </w:p>
    <w:p>
      <w:r>
        <w:rPr>
          <w:b w:val="0"/>
        </w:rPr>
        <w:t xml:space="preserve">Herr talman! Jag har redan tidigare, vid debatten om den nyss föredragna punkten, framhållit, att det föreligger en bestämd skillnad emellan fallet Sköld och fallet Söderström, en skillnad, som för min del motiverade en önskan om högre understöd i fallet Sköld. Denna skillnad är den, att </w:t>
      </w:r>
      <w:r>
        <w:rPr>
          <w:b/>
        </w:rPr>
        <w:t>änkan²</w:t>
      </w:r>
      <w:r>
        <w:rPr>
          <w:b w:val="0"/>
        </w:rPr>
        <w:t xml:space="preserve"> efter Söderström väl under alla förhållanden måste anses vara i en betydligt gynnsammare ställning i avseende å möjligheten att skaffa sig utkomst. Det upplyses här i utskottets utlåtande, att </w:t>
      </w:r>
      <w:r>
        <w:rPr>
          <w:b/>
        </w:rPr>
        <w:t>änkan²</w:t>
      </w:r>
      <w:r>
        <w:rPr>
          <w:b w:val="0"/>
        </w:rPr>
        <w:t xml:space="preserve"> Söderström, som är född 1894, avlagt filosofie magisterexamen samt att </w:t>
      </w:r>
      <w:r>
        <w:rPr>
          <w:b/>
        </w:rPr>
        <w:t>hon²</w:t>
      </w:r>
      <w:r>
        <w:rPr>
          <w:b w:val="0"/>
        </w:rPr>
        <w:t xml:space="preserve"> för närvarande genomgår provårskurs vid Uppsala högre allmänna läroverk. Med hänsyn till att i detta fall det inte kan anses föreligga ömmande omständigheter av det slag, som förelågo i näst föregående punkt och som bruka vara avgörande för riksdagens ställning till frågor av detta slag, hemställer jag om bifall till utskottets förslag i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