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1948</w:t>
      </w:r>
    </w:p>
    <w:p>
      <w:r>
        <w:rPr>
          <w:b/>
        </w:rPr>
        <w:t xml:space="preserve">Datum: </w:t>
      </w:r>
      <w:r>
        <w:t>1932-05-21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 Larsson (Folkpartiet, man)</w:t>
      </w:r>
    </w:p>
    <w:p>
      <w:r>
        <w:rPr>
          <w:b w:val="0"/>
        </w:rPr>
        <w:t xml:space="preserve">Jag vill bara säga några ord till </w:t>
      </w:r>
      <w:r>
        <w:rPr>
          <w:b/>
        </w:rPr>
        <w:t>fru²</w:t>
      </w:r>
      <w:r>
        <w:rPr>
          <w:b w:val="0"/>
        </w:rPr>
        <w:t xml:space="preserve"> Östlund.</w:t>
        <w:br/>
        <w:br/>
      </w:r>
      <w:r>
        <w:rPr>
          <w:b/>
        </w:rPr>
        <w:t>Fru²</w:t>
      </w:r>
      <w:r>
        <w:rPr>
          <w:b w:val="0"/>
        </w:rPr>
        <w:t xml:space="preserve"> Östlund sade, liksom övriga reservanter, att man borde först söka skaffa ett prejudikat från högsta domstolen. Hur förhåller det sig i detta avseende? Jag vill då först erinra om vad herr Christenson redan framhållit, nämligen att det icke finnes någon möjlighet att skapa prejudikat, eftersom det förhåller sig så, att de domslut, som förekommit i saken under senare åren och som gått till hovrätten, där lett till det resultatet att de åtalade blivit frikända. Då har åklagaren vänt sig till justitiekanslern, något som är hans rätt och skyldighet att göra, och hemställt om tillstånd att få i högsta domstolen överklaga hovrättens utslag. Men dessa framställningar har justitiekanslern avslagit; och någon möjlighet att förmå honom att ändra mening på den punkten har varken regeringen eller någon annan heller. Det är justitiekanslern, som avgör, om något överklagande skall ske. Skulle man då vänta, tills den nuva-</w:t>
        <w:br/>
        <w:br/>
        <w:t>rande justitiekanselern avgår eller avlider, vilket ju kan dröja åtskilliga år, för att få möjlighet till prejudikat?</w:t>
        <w:br/>
        <w:br/>
        <w:t>När saken är så tveksam, att justitiekanslern icke ansett, att ett överklagande tjänar något till, är det bäst att göra en lagändring.</w:t>
      </w:r>
    </w:p>
    <w:p>
      <w:pPr>
        <w:pStyle w:val="Heading2"/>
      </w:pPr>
      <w:r>
        <w:t>2. Carl Petrus Olsson (Socialdemokraterna, man)</w:t>
      </w:r>
    </w:p>
    <w:p>
      <w:r>
        <w:rPr>
          <w:b w:val="0"/>
        </w:rPr>
        <w:t xml:space="preserve">Herr talman! Det var med anledning av herr socialministerns senaste yttrande jag skulle vilja säga ett par ord. Denna fråga hör naturligtvis till de mera tveksamma, och jag förstår innerligen väl, att många av kammarens ledamöter ha litet svårt att följa den tankegång, som </w:t>
      </w:r>
      <w:r>
        <w:rPr>
          <w:b/>
        </w:rPr>
        <w:t>fru²</w:t>
      </w:r>
      <w:r>
        <w:rPr>
          <w:b w:val="0"/>
        </w:rPr>
        <w:t xml:space="preserve"> Östlund var inne på.</w:t>
        <w:br/>
        <w:br/>
        <w:t>Den meningen ha vi reservanter haft gemensam med utskottets majoritet, att det icke är någon anledning att hålla nattklubbarna eller deras verksamhet under armarna. Jag begär att bli trodd på mitt ord, då jag säger, att vi äro minst lika angelägna som utskottet i övrigt att komma till rätta med den saken. Men det är två skäl, varför vi icke velat acceptera socialministerns förslag. Det ena, som förut refererats, är, att man från fullt sakkunnigt håll i utskottet har upplyst oss om att regeringen borde ha möjlighet i sin hand att få justitiekanslern att följa dess intentioner. När nu socialministern förklarar motsatsen, tror jag honom naturligtvis, men det är den uppfattning, som vi bibringats från sakkunnigt håll, att regeringen skulle kunna giva justitiekanslern del av sin mening på denna punkt och att han under sådana förhållanden knappast skulle underlåta att fullfölja talan i högsta domstolen. Jag ser, att en del av herrarna dra på munnen åt denna vår uppfattning, men det är dock så, att juridiska kapaciteter ha givit uttryck åt denna mening, och då är det naturligt, att vi lekmän tagit den för god. Jag vill sålunda konstatera, att något besked, om lagen är tillräcklig eller ej, icke föreligger, då man ej fått prejudikat från högsta domstolen.</w:t>
        <w:br/>
        <w:br/>
        <w:t>Detta rent juridiska spörsmål har dock icke för mig varit det väsentligaste, utan den möjlighet, som vi ansett föreligga, för att den legala föreningsverksamheten skulle kunna skadas, genom den formulering, ordningsstadgan skulle få, har varit det tyngst vägande skälet. Vi ha exempelvis inom våra föreningar en rad av anordningar, som vi riskera skulle kunna falla under den beteckning man givit i ordningsstadgan. Jag ber att få taga ett exempel. Vi ha inom olika föreningar årsfester, till vilka vi inbjuda även sådana personer, som icke äro medlemmar av resp. föreningar. Det kan förekomma, att icke enbart familjemedlemmar utan även helt främmande personer äga tillträde till dessa tillställningar. Under förutsättning att de erlägga den kostnad, som kan vara förenad med sådant tillträde, har man ansett. att det kan föreligga risk för att dylika fullt legala anordningar skulle falla under dessa bestämmelser, som man här ifrågasatt. Denna risk ha vi icke velat taga.</w:t>
        <w:br/>
        <w:br/>
        <w:t>Nu sade herr Christenson i sitt anförande gent emot reservanterna: varför ha icke reservanterna kommit med tydligare bestämmelser på den punkten? Jag vill då bara erinra herr Christenson om att jag inom utskottet varit en av de ivrigaste förespråkarna för att man skulle undersöka möjligheten att få förtydligande på den punkten. Men jag fick det beskedet från juridiskt håll, att man icke ansåg, att man i utskottet kunde vara beredd att skriva om en lagtext på ett så känsligt och svårt område. Jag gav dem rätt i, att det var svårt att på några dagar skriva om en lagtext, vilken specialister i månadtal varit sysselsatta med att formulera. Vi försökte därför i motiveringen få ett uttalande om. att man icke avsåg att skada den legala föreningsverksamheten. Det gjordes försök att formulera ett sådant uttalande, men det försöket föll icke lyckligt ut, och den formulering, som jag skulle närmast velat ha, ville utskottets majoritet icke biträda. Detta förde mig, med ganska stor tvekan för övrigt, till att gå emot propositionen på denna punkt. Som jag tidigare</w:t>
        <w:br/>
        <w:br/>
        <w:t>antytt, var jag minst lika angelägen som någon annan i utskottet att vidtaga restriktiva åtgärder, när det gällde nattklubbarnas verksamhet, men jag har också varit mycket angelägen om att icke lagstiftningen blir sådan, att den legala föreningsverksamheten skadas. Min tvekan på den punkten har då som sagt fört mig över till reservanterna.</w:t>
        <w:br/>
        <w:br/>
        <w:t>Vad gäller allmänna boxningssällskapet, så är det för mitt vidkommande en tämligen underordnad synpunkt. Såsom gammal idrottsman har jag icke något nämnvärt emot boxning. Vad jag däremot vänder mig emot, det är, att människor göra boxningen till yrke. Idrotten i och för sig i form av boxning har jag icke någon invändning emot, men jag tror, att om man nu lagstiftar mot denna verksamhet, så är det nästan, höll jag på att säga, detsamma som att kasta jästen efter brödet i ugnen. Det är faktiskt på det sättet, att den professionella boxningen håller på att självdö.</w:t>
        <w:br/>
        <w:br/>
        <w:t>Det är under här angivna förhållanden klart, att jag ansluter mig till den ståndpunkt, som vi reservanter kommit till, men jag ber å andra sidan att få försäkra, att jag icke skall taga det alltför hårt, vilken utgång i kammaren frågan än får. (Det är ju tydligt, att utgången är given.) Men jag kan icke underlåta att känna betänksamhet inför den form lagstiftningen fått och är TÅ för att den legala föreningsverksamheten därigenom kan komma att skadas.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