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710</w:t>
      </w:r>
    </w:p>
    <w:p>
      <w:r>
        <w:rPr>
          <w:b/>
        </w:rPr>
        <w:t xml:space="preserve">Datum: </w:t>
      </w:r>
      <w:r>
        <w:t>1932-06-01</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Jag lovade, att inte riva upp någon större debatt om denna fråga, men trots detta har det ändå slösats många ord på saken</w:t>
        <w:br/>
        <w:br/>
        <w:t>Jag måste till de bägge sista talarna säga, att det är för mig alldeles ofattbart, hur de här kunna föra ett sådant resonemang som de gjort. Även reservanterna uttala, att det skall föranstaltas om utredning och förslag. Men den siste ärade talaren säger, att utredningen innebär ett återupplivande av striderna kring privatläroverken. Det är alldeles ofattbart, att han kan rikta sådana anmärkningar gentemot utskottet, som anför: »Några närmare riktlinjer för denna utredning anser sig utskottet här icke böra uppdraga, utan torde det vid utredningen böra stå vederbörande öppet att fritt pröva olika</w:t>
        <w:br/>
        <w:br/>
        <w:t xml:space="preserve">utvägar till att nå det avsedda resultatet.» Och vad är det avsedda resultatet? Ang. Jo, att åvägabringa en enkel, rättvis och ur kontrollsynpunkt mera tillfredsändrad ord ställande ordning än den nu härutinnan gällande. Det är vad utskottet och "4/9 5 ;d motionären ha begärt. Att det sedermera faller avdelningens ärade ordförande vissa läroin att försöka misstänkliggöra bevekelsegrunderna för initiativet, är ju en sak «anstalter. för sig, men på så lösa boliner kan riksdagen inte gärna handla. (Forts.) Jag vill på herr Bergqvists fråga svara, att jag anser, att avsikten med motionen ingalunda är att över hela linjen sänka statsunderstöden, men däremot avses att genom förslaget förhindra sådana företeelser, som att t. ex. den förut omnämnda skolan i en lång följd av år har utkvitterat 10,000 kronor för mycket om året, utan att någon myndighet har rört ett finger, förrän min motion framkom. Jag nödgas för övrigt ställa den motfrågan till herr Bergqvist: är det rimligt, att en skola kan utan vidare rekvirera sådana belopp och få dem utbetalda? Av dessa summor kunna i alla fall endast de tre senast utbetalda återkrävas, de andra äro förlorade. Och detta är endast ett stickprov ur högen. Jag har inte kunnat genomgå dessa räkenskaper, ty de finnas inte tillgängliga hos någon statsmyndighet, utan man får gå till skolornas lönerekvisitioner hos länsstyrelserna. Jag vill för övrigt säga, att ingen statlig myndighet har en så vidsträckt fullmakt som privatläroverken nu ha, ty till grund för länsstyrelsernas granskning ligger endast en rekvisition från vederbörande skola, som i många fall attesteras av en privatperson, nämligen skolans inspektor. Vad som står på listan lär länsstyrelsen vara skyldig att utanordna, därför att den inte kan sätta någon annan siffra i stället, såvida det inte gäller rena felräkningar. Det finns ingen möjlighet att undersöka, om de uppgivna lärarkrafterna verkligen behövas. Jag måste vidare framhålla, att jag inte finner det tillfredsställande, att av två skolor, som äro lika stora, nämligen Borås med 378 elever och Linköping med 397, den förra i statsunderstöd per lärjunge har 151 kronor och den senare 174 kronor om året, d. v. s. att den ena skolan utrekvirerar 12,000 kronor mer än den andra på grund av 19 elever. Jag kan inte finna en sådan ordning tillfredsställande, lika litet som jag kan finna det rimligt, att den privata </w:t>
      </w:r>
      <w:r>
        <w:rPr>
          <w:b/>
        </w:rPr>
        <w:t>flickskolan²</w:t>
      </w:r>
      <w:r>
        <w:rPr>
          <w:b w:val="0"/>
        </w:rPr>
        <w:t xml:space="preserve"> 1 Hudiksvall kostar staten 282 kronor per lärjunge, medan däremot Vasa statsläroverk kostar 359 kronor per lärjunge. Inte heller kan jag finna en sådan ordning försvarlig, att i bidrag till vissa skolor utanordnas belopp, som närma sig dem, som staten själv har att utge för sina egna läroanstalter. Det är dessa otillfredsställande förhållanden, som jag har velat få undanröjda. Såsom reservationen är avfattad, förstår ingen människa, vad som åsyftas. Det var någon, som träffande sade i andra kammaren, att reservanterna tydligen ville skriva ett brev i samma sak som utskottet. De formulerade brevet litet otydligare, men de glömde alldeles bort att skriva adress på det.</w:t>
      </w:r>
    </w:p>
    <w:p>
      <w:pPr>
        <w:pStyle w:val="Heading2"/>
      </w:pPr>
      <w:r>
        <w:t>2. Olof Bergqvist (Högerns riksdagsgrupp, man)</w:t>
      </w:r>
    </w:p>
    <w:p>
      <w:r>
        <w:rPr>
          <w:b w:val="0"/>
        </w:rPr>
        <w:t>Först och främst var det väl ett misstag av den ärade talaren, att jag för min del hade vänt mig mot utskottet med några mindre lämpliga utialanden. Det var till motionären och inte till utskottet, sor jag riktade mina frågor.</w:t>
        <w:br/>
        <w:br/>
        <w:t>Jag vill vidare konstatera, att jag inte fått något svar på de frågor jag framställde. När jag ville höra motionärens mening om huruvida privatläroverken skulle komma 1 åtnjutande av ungefär samma bidrag som hittills, så svarar inte motionären på den frågan, utan i stället drar han fram historien om en oriktig utbetalning av 10,000 kronor. Detta är ju en sak för sig. En myndighet kan göra oriktiga utbetalningar, och det är minsann inte första gången vi under riksdagsarbetet konstaterat, att sådant har skett. Och det kan ske, även om man inför förändrade bestämmelser för statsbidraget till privatläroverken.</w:t>
        <w:br/>
        <w:br/>
        <w:t>Slutligen vill jag säga, att i herr Björcks svar inte någon vidare välvilja mot de privata läroverken kom till uttryck, utan det var en ganska snäv hållning mot dem. Jag tror därför, att vi kunna ha skäl att frukta, att det bakom motionen ligger en avsikt att göra det en smula trängre för de privata läroverken, men det vill jag inte vara med om.</w:t>
      </w:r>
    </w:p>
    <w:p>
      <w:pPr>
        <w:pStyle w:val="Heading2"/>
      </w:pPr>
      <w:r>
        <w:t>3. Arvid Thelin (–, man)</w:t>
      </w:r>
    </w:p>
    <w:p>
      <w:r>
        <w:rPr>
          <w:b w:val="0"/>
        </w:rPr>
        <w:t>Endast några ord. Herr Björck talade om att ett privatläroverk i Göteborg lyckats under ett par år få ut större statsbidrag, än det varit berättigat till. Men jag vill påpeka, att detta läroverk är nedlagt, och överstyrelsen säger själv, att den har sin uppmärksamhet riktad alldeles särskilt på dylika saker. Jag tror därför, att man kan lita på att det påtalade missförhållandet inte kommer att upprepas.</w:t>
        <w:br/>
        <w:br/>
        <w:t xml:space="preserve">När herr Björck vidare säger, att det är ingen, som riktigt kan intyga, om vederbörande </w:t>
      </w:r>
      <w:r>
        <w:rPr>
          <w:b/>
        </w:rPr>
        <w:t>lärarinnor³</w:t>
      </w:r>
      <w:r>
        <w:rPr>
          <w:b w:val="0"/>
        </w:rPr>
        <w:t xml:space="preserve">, för vilka rekvisitioner inlämnas till länsstyrelsen, verkligen tjänstgöra, vill jag påpeka, att inspektor för läroverket, vilken utses av överstyrelsen, skall i varje fall intyga, att dessa </w:t>
      </w:r>
      <w:r>
        <w:rPr>
          <w:b/>
        </w:rPr>
        <w:t>lärarinnor³</w:t>
      </w:r>
      <w:r>
        <w:rPr>
          <w:b w:val="0"/>
        </w:rPr>
        <w:t xml:space="preserve"> verkligen tjänstgöra.</w:t>
        <w:br/>
        <w:br/>
        <w:t>Herr Björck säger; att länsstyrelsen bara har att betala utan vidare efter rekvisition, men jag vill framhålla, att statskontoret skriver på sidan 13 i bilagan till utlåtandet: »Granskningen av privatläroverkens rekvisitioner måste nämligen, såsom motionären framhållit, anses synnerligen tidskrävande för de utbetalande myndigheterna.» Alltså har väl statskontoret här sagt ifrån, att länsstyrelsen ingalunda kan betala utan vidare, utan att länsstyrelsen just företar en mycket tidskrävande prövning av dessa rekvisitioner, innan utbetalningen sker.</w:t>
      </w:r>
    </w:p>
    <w:p>
      <w:pPr>
        <w:pStyle w:val="Heading2"/>
      </w:pPr>
      <w:r>
        <w:t>4. Wilhelm Björck (Socialdemokraterna, man)</w:t>
      </w:r>
    </w:p>
    <w:p>
      <w:r>
        <w:rPr>
          <w:b w:val="0"/>
        </w:rPr>
        <w:t xml:space="preserve">Med anledning av den siste ärade talarens inlägg skall jag bara säga, att i det av mig anmärkta fallet — det i Göteborg — inspektorn naturligtvis hade intygat, att de ifrågavarande </w:t>
      </w:r>
      <w:r>
        <w:rPr>
          <w:b/>
        </w:rPr>
        <w:t>lärarinnorna³</w:t>
      </w:r>
      <w:r>
        <w:rPr>
          <w:b w:val="0"/>
        </w:rPr>
        <w:t xml:space="preserve"> tjänstgjorde. Men icke förty tjänstgjorde tre av dem inte vid den statsunderstödda skolan. Och det var ingen vanlig inspektor, som inte kände till förhållandena så noga, utan det var rektorn vid ett av de största läroverken i riket. Den kontrollen kan därför inte anses betryggande. Det är utan tvivel förträffligt, att skolöverstyrelsen har sin uppmärksamhet riktad på ett förhållande, som fortsatt i många år, men det är beklagligt, att saken tycks ha väckt uppmärksamhet först sedan läroverket nedlagts. Det hade naturligtvis varit en starkare position för herr Thelin, om överstyrelsen haft sin uppmärksamhet riktad därpå, medan läroverket fanns och möjligheter för staten att återvinna dessa belopp förelegat.</w:t>
        <w:br/>
        <w:br/>
        <w:t>Granskningen av rekvisitionerna är naturligtvis tidskrävande, det är riktigt. Man skall ju summera flera olika rubriker och kontrollräkna dyrtidstillägg o.s.v. Det är klart, att det tar mycket tid i anspråk. Men vad länsstyrelsen inte har någon som helst befogenhet att gå in på är, att om ett privat läroverk tar in ännu en lärjunge i en klass, som förut haft 30, så uppkommer genom denna enda lärjunge omedelbart anledning att anställa en ny lärarkraft, som statsverket får bidraga till. Det är sådana saker, som göra, att statsverket har mycket liten reell kontroll över hithörande utgifter.</w:t>
        <w:br/>
        <w:br/>
        <w:t>att användas till dessas gatuoch väghållning samt åttiofem procent till landsbygden för att användas företrädesvis till förbättring och underhåll av för den allmänna samfärdseln särskilt betydelsefulla vägar och broar.</w:t>
        <w:br/>
        <w:br/>
        <w:t>Från nämnda fond skola i första hand bestridas dels de enligt gällande lagar angående väghållningsbesvärets utgörande på landet samt om ödebygdsvägar utgående statsbidragen till vägunderhåll och vinterväghållning, dels vad av automobilskattemedel skall utgå till bestridande av kostnaderna för vägorganisationen 1 länen, dels vad i enlighet med å riksstaten anvisade anslag skall av automobilskattemedel utgå som bidrag till byggande av landsvägar och vanliga bygdevägar, dels ock vad som jämlikt i sådant avseende meddelade bestämmelser skall av dylika medel ställas till lantbruksstyrelsens förfogande att användas till fiskerinäringens befrämjande.</w:t>
        <w:br/>
        <w:br/>
        <w:t>Av städerna tillkommande andel av skattemedlen skola sextiofem procent fördelas mellan de särskilda städerna i förhållande till de belopp, som från dem influtit i automobilskatt.</w:t>
        <w:br/>
        <w:br/>
        <w:t>Av städerna tillkommande andel av skattemedlen skola åttio procent fördelas mellan de särskilda städerna i förhållande till de belopp, som från dem influtit i automobilskatt.</w:t>
        <w:br/>
        <w:br/>
        <w:t>organisationen i länen, dels vad i enlighet med å riksstaten anvisade anslag skall av automobilskattemedel utgå som bidrag till byggande av landsvägar och vanliga bygdevägar, dels ock vad som jämlikt i sådant avseende meddelade bestämmelser skall av dylika medel ställas till lantbruksstyrelsens förfogande att användas till fiskerinäringens befrämjande.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