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725</w:t>
      </w:r>
    </w:p>
    <w:p>
      <w:r>
        <w:rPr>
          <w:b/>
        </w:rPr>
        <w:t xml:space="preserve">Datum: </w:t>
      </w:r>
      <w:r>
        <w:t>1933-04-29</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William Linder (Socialdemokraterna, man)</w:t>
      </w:r>
    </w:p>
    <w:p>
      <w:r>
        <w:rPr>
          <w:b w:val="0"/>
        </w:rPr>
        <w:t>Herr talman! Jag har tillåtit mig att vid denna riksdag väcka motion om vissa tilläggsbestämmelser till vår äktenskapslagstiftning. Denna motion har av första lagutskottet avstyrkts, i det utskottet hemställer, att motionen icke måtte till någon riksdagens åtgärd föranleda. Jag kunde visserligen ha låtit nöja mig med detta med hänsyn till den relativt välvilliga motivering, som förekommer i utskottets utlåtande, men jag finner mig på grund av ämnets vikt föranlåten att säga några ord i saken.</w:t>
        <w:br/>
        <w:br/>
        <w:t>Då jag väckte denna motion om införandet av tilläggsbestämmelser, var jag fullt medveten om, att jag därmed kom in på ett av den svenska rättens mest svårtillgängliga områden. Med hänsyn enbart till denna omständighet skulle jag kanske inte ha väckt motionen, om jag inte ansett, att jag i viss mån haft särskilt fog för densamma. Jag har nämligen i min verksamhet vid flerfaldiga tillfällen under de sista åren kommit i beröring med den äldre äktenskapslagstiftningen och därvid fått göra sådana erfarenheter, att jag tyckt, att det vore skäl att försöka åstadkomma en ändring.</w:t>
        <w:br/>
        <w:br/>
        <w:t xml:space="preserve">Det fall, som därvid närmast provocerat mig, så att säga, till denna nu väckta motion, har varit följande. Det har funnits makar, som blivit gifta före år 1921 och som försatts i konkurs. </w:t>
      </w:r>
      <w:r>
        <w:rPr>
          <w:b/>
        </w:rPr>
        <w:t>Hustrun²</w:t>
      </w:r>
      <w:r>
        <w:rPr>
          <w:b w:val="0"/>
        </w:rPr>
        <w:t xml:space="preserve"> har därvid sökt och vunnit boskillnad, men något skifte har inte kommit att äga rum, helt naturligt och mycket förståndigt därför, att makarna tyckt detta vara obehövligt, då det inte funnits något att skifta. Konkursen har inte kommit att lämna något överskott. Denna omständighet, att inte skifte ägt rum, har emellertid haft en mycket vittgående betydelse för dem, det gäller, med hänsyn till framtiden. Till följd av de övergångsbestämmelser, som äro häftade vid den nya giftermålsbalken, blir det nämligen en helt annan rättsställning för </w:t>
      </w:r>
      <w:r>
        <w:rPr>
          <w:b/>
        </w:rPr>
        <w:t>hustrun²</w:t>
      </w:r>
      <w:r>
        <w:rPr>
          <w:b w:val="0"/>
        </w:rPr>
        <w:t>, om</w:t>
        <w:br/>
        <w:br/>
        <w:t>Nu har emellertid för mig, och jag hade så när sagt, även för utskottet, det lyckosamma inträffat, att sedan jag väckt min motion har det tillkommit ett mycket betydelsefullt prejudikat i form av en dom från högsta domstolen, och denna dom har gått just i den riktning, som jag i min motion framhållit som önskvärd. Motionen väcktes i januari månad. Högsta domstolens dom föll visserligen i oktober förra året men kom inte till allmänhetens kännedom — inte heller jag fick mig den bekant — förrän genom det häfte av tidskriften Nytt juridiskt arkiv, som utkom den 27 februari i år. Denna dom är av mycket stort intresse, ty hittills har det varit så, att såväl domare som advokater tolkat lagen efter dess ordalydelse, och man har alltså ansett, att, om makar i samband med konkurs vunnit boskillnad före den 1 januari 1921, skall den nya giftermålsbalken tillämpas på dessa makar efter det skifte dem emellan ägt rum. Nu har emellertid genom domen fastslagits, att om sådana makar vunnit boskillnad, skall, alldeles oavsett vad som står stadgat i lagen om rättsverkningarna, skifte vara obehövligt och makarnas förmögenhetsförhållanden ändock bedömas efter den nya giftermålsbalkens bestämmelser under den förutsättningen, att det inte funnits något överskott efter konkursen, det vill säga, att det inte funnits något att skifta. Det är alldeles tydligt, att, såsom jag förut sagt, detta är en mycket förnuftig mening, även om det nog kan göras den invändningen, att uttalandet inte täcker alla de fall, som kunna komma upp. Men i alla händelser är detta en god utgång. Det är bara skada, det får jag säga, att man först efter tolv år fått från fullt auktoritativt håll veta, hur lagens rätta tillämpning skall vara.</w:t>
        <w:br/>
        <w:br/>
        <w:t>Nu kan det emellertid inte förtänkas mig, att, när jag kom in på denna fråga om äkta makars rättsställning med hänsyn till vunnen boskillnad, jag också kom att intressera mig för att om möjligt undanröja det dubbelsystem, som nu råder på den svenska rättens område i fråga om äktenskaps ekonomiska rättsverkningar. Det är ett känt förhållande, att den äldre giftermålsbalkens bestämmelser om äktenskaps rättsverkningar voro både bristfälliga, otidsenliga och i hög grad invecklade. Därför skapades ett mera enkelt, ett mera rättfärdigt system, om jag så får säga, genom den lagstiftning, som av riksdagen beslöts 1920. Men man kan inte säga annat än att, då det gällde att genomföra det nya systemet, kom det på ett väsentligt sätt att brista. Det häftades nämligen på den nya giftermålsbalken vissa övergångsbestämmelser, vilka hava fört med sig, att två olika system kommit att gälla, byggda på helt olika grunder. Det ena systemet gäller makar, som gift sig före den 1 januari 1921, och det andra systemet gäller sådana makar, som blivit gifta efter nämnda dag. Det är alltså på det sättet numera, att om varandra leva här i samhället makar, och för det ena äkta paret gäller den ena lagen, och för det andra äkta paret gäller den andra lagen. Olika äkta makars egendom förvaltas, deras gäld betalas efter rättsbestämmelser, som äro helt olika varandra. Nu har jag för min del och många med mig tyckt, att ett sådant dubbelsystem är i hög grad olämpligt, därför att det medför osäkerhet och därjämte medför många olägenheter såsom också lagutskottet här i utlåtandet har konstaterat.</w:t>
        <w:br/>
        <w:br/>
        <w:t>Det är visserligen sant och skall inte förtigas vid detta tillfälle, att då den</w:t>
        <w:br/>
        <w:br/>
        <w:t xml:space="preserve">Om vissa tilläggsbestämmelser till äktenskapslagstiftningen. (Forts.) nya lagstiftningen genomfördes, mottogs den med blandade känslor. Åt </w:t>
      </w:r>
      <w:r>
        <w:rPr>
          <w:b/>
        </w:rPr>
        <w:t>hustrun²</w:t>
      </w:r>
      <w:r>
        <w:rPr>
          <w:b w:val="0"/>
        </w:rPr>
        <w:t xml:space="preserve"> anvisades visserligen en betydligt bättre och förmånligare ställning, än </w:t>
      </w:r>
      <w:r>
        <w:rPr>
          <w:b/>
        </w:rPr>
        <w:t>hon²</w:t>
      </w:r>
      <w:r>
        <w:rPr>
          <w:b w:val="0"/>
        </w:rPr>
        <w:t xml:space="preserve"> tidigare haft, men man befarade, att den nya lagstiftningen just därför också skulle komma att medföra många slitningar, många tvister. Men farhågorna ha inte besannats. Det har inte på något sätt visat sig, att denna lagstiftning varit mera äventyrlig än någon föregående. Under sådana förhållanden kan jag för min del mycket väl förstå det berättigade i den diskussion, som på juristhåll förts angående frågan, huruvida det inte vore lämpligt att försöka åstadkomma en viss rättsenhet i detta system, så att den nya giftermålsbalkens bestämmelser komme att i större utsträckning än hittills tillämpas på de äldre äktenskapen.</w:t>
        <w:br/>
        <w:br/>
        <w:t>Jag tyckte för min del, då jag tänkte igenom den här saken, som jag för övrigt tänkt på mycket länge, att det kunde vara lämpligt, att riksdagen någon gång konfronterades med det här spörsmålet, och med hänsyn därtill väckte jag denna motion. Det är klart, att det inte är möjligt överhuvud taget för någon enskild man, att när det gäller en så invecklad sak som denna, och en sak av så betydande omfattning, föra frågan ut i hela dess vidd. Jag har i min motion endast pekat på en sak, som jag ansett lämplig att taga upp till behandling, och det är frågan om mannens förvaltningsgäld. Frågan härom hör till ett område, där man enligt min uppfattning borde försöka få till stånd en utjämning av skiljaktigheterna mellan det gamla och det nya systemet.</w:t>
        <w:br/>
        <w:br/>
        <w:t xml:space="preserve">Nu har ju lagutskottet ingalunda i sitt utlåtande bestritt förhandenvaron av den orättvisa, jag framhållit i motionen och som yttrar sig däri, att enligt den gamla giftermålsbalken den äkta mannen kan bereda sina borgenärer möjJ- lighet att taga betalning ur hela det samfällda boet; och detta, fastän han ådragit sig skuldsättningen på egen hand. Betalningsrätten kan utsträckas jämväl över sådan kommunikabel egendom, över vilken </w:t>
      </w:r>
      <w:r>
        <w:rPr>
          <w:b/>
        </w:rPr>
        <w:t>hustrun²</w:t>
      </w:r>
      <w:r>
        <w:rPr>
          <w:b w:val="0"/>
        </w:rPr>
        <w:t xml:space="preserve"> äger råda. Lagutskottet har självt anfört exempel på sådan skuldsättning, nämligen när den gifte mannen idkat affärsrörelse.</w:t>
        <w:br/>
        <w:br/>
        <w:t>Då frågar jag mig: vad är det för skäl, som lagutskottet anfört för sin ovillighet att medverka till undanröjandet av denna orättvisa? Ja, ingenting annat, så vitt jag förstår — mången kan ju kanske säga, att det är mycket nog — men i alla händelser ingenting annat än skäl, innehållande samma tankegång, som gjorde sig gällande i detta avseende vid 1920 års riksdag, då man sade, bland annat, att ny lag inte skulle verka ändring i redan uppkomna rättsförhållanden. Lagutskottet har också antagit, att den nya giftermålsbalkens genomförande i hög grad berodde på att just dessa övergångsbestämmelser blevo godkända av riksdagen. Ja, det är förvisso sant, att den nya lagstiftningen mötte och ansågs möta svårigheter vid sitt antagande, och för att parera denna ovilja mot lagstiftningen byggde lagberedningen upp de förut nämnda övergångsbestämmelserna, som den häktade på den nya giftermålsbalken. Det är emellertid alldeles klart för den, som närmare tänker sig in 1 dessa förhållanden, att just med hänsyn till det syfte, som dessa övergångsbestämmelser voro avsedda att tjäna vid det tillfället, så talade inte lagberedningen om alla de olägenheter, som också äro förbundna med dessa övergångsbestämmelser. Det hade man ingen anledning att särskilt bära till torgs. Och jag tror för min del, efter vad jag kunnat förnimma, att det aldrig varit de herrars mening, som uppbyggde dessa bestämmelser, att desamma skulle på något sätt anses okränkbara. Ty det är dock så, att dessa övergångsbestämmelser gälla för obegränsad tid framåt. Jag har sett någonstans, att det räknats ut, att de kunna tänkas komma att gälla omkring 50 år framåt. Under denna tid skulle alltså domstolarna, för att inte tala om alla advokater, som ha tillfälle kanske</w:t>
        <w:br/>
        <w:br/>
        <w:t>Detta är vad jag har att anföra i saken. Lagutskottet står enhälligt bakom sin mening, och jag vill naturligtvis inte betaga lagutskottet äran av den inställning, som utskottet tagit till detta viktiga spörsmål. Men när frågan kom före i kammaren, har jag ansett, att jag borde lämna den kommentar till motionen, som jag nu framfört, vilket alltså innebär, att jag inte yrkar bifall till motionen, utan låter utskottet behålla sista ordet för den här gången.</w:t>
      </w:r>
    </w:p>
    <w:p>
      <w:pPr>
        <w:pStyle w:val="Heading2"/>
      </w:pPr>
      <w:r>
        <w:t>2. Carl Lindhagen (–, man)</w:t>
      </w:r>
    </w:p>
    <w:p>
      <w:r>
        <w:rPr>
          <w:b w:val="0"/>
        </w:rPr>
        <w:t>Det här ämnet rör sig på juristernas speciella valplats, och jag undrar inte på att kammarens ledamöter hålla sig borta från den dialektik, som här kan komma att äga rum. Därför har också utskottet chanser att få sin mening igenom, och den siste talaren har till och med avstått från att göra något yrkande. En sådan fanflykt kan jag ej här tillåta mig utan börjar, herr talman, med att yrka bifall till Linders motion.</w:t>
        <w:br/>
        <w:br/>
        <w:t>Efter vad Linder anförde, har det uttalats stora betänkligheter mot denna dubbeläktenskaplighet, som genomfördes 1920. Redan då förklarades från de tongivande ledande hållen, att det vore utan tvivel ur flera synpunkter önskligt, om de nya bestämmelserna angående makars rättsförhållanden kunde omedelbart vinna fullständig tillämpning även beträffande makar, som ingått äktenskap innan den nya lagen trädde i kraft. Utskottet självt säger: »Utskottet vill ingalunda förneka, att åtskilliga olägenheter äro förenade med den av motionären klandrade dubbellagstiftningen å äktenskapsrättens område.»</w:t>
        <w:br/>
        <w:br/>
        <w:t>Saken är således klar. Det råder enstämmig enighet därom, att åtskilliga olägenheter från olika synpunkter äro förenade med denna dubbellagstiftning. Det sade man, då lagen stiftades, och det säges också ännu. Då är frågan: Är juridiken så bakom realiteternas flöte, att man inte kan finna några kompromissvis åtminstone formulerade utvägar, som avhjälpa ens en del av dessa olägenheter? Utom motionären har även professorn i civilrätt Undén gått i selen för en sådan möjlighet.</w:t>
        <w:br/>
        <w:br/>
        <w:t>Nej, säger däremot utskottet, det är omöjligt. Ty såsom en viktig rättsgrundsats gäller, att ny lag inte får verka ändring i redan uppkomna rättsförhållanden. Menige man har emellertid en helt annan rättsregel, eller att där det finns vilja för någonting, som är önskvärt, där finns det också en utväg och i detta fall således möjligheter till en lag. Den där »viktiga» rätts-</w:t>
        <w:br/>
        <w:br/>
        <w:t>Om vissa tilläggsbestämmelser till äktenskapslagstiftningen. (Forts.) grundsatsen, att lagen inte skall få retroaktiv verkan, är ett plågoris för vår tid och en gammal uppfattning, som i vissa fall har sitt berättigande men vilkens berättigande drives över alla gränser. Hur är det med vår beskattningslagstiftning? Där är det inte fråga om, att den inte får verka retroaktivt. Och i hela vår så kallade sociala lagstiftning, då man någon gång går till aktion för densamma, är ju hela denna rättsgrundsats om bestående rättsförhållandens okränkbarhet upphävd. Inte kan man säga, att sociala missförhållanden, som äga rum under hägn av en gammal lag, äro okränkbara. Det tilllämpa vi inte i fråga om beskattningsoch annan konfiskationslagstiftning och inte heller i den sociala lagstiftningen, men så snart det gäller allmän civillag, är det precis, som om det vilade någon särskilt gammaldags anda över den där civillagen! Och dock är den allmänna civillagen också i själva verket fylld av en myckenhet av sociala hänsyn, hopad i nästan varenda paragraf.</w:t>
        <w:br/>
        <w:br/>
        <w:t>Det är denna dubbelmoral mellan social lag och allmän, renrakad, i inbillningen icke socialt betonad lag, som bör modifieras. Det är en sådan tankegång, som motionären nu velat ställa utskottet inför, och det tycker jag, att han gjort på en viktig punkt i rätt riktning. Han har särskilt anfört ett exempel, där han vill ha en ändring. Han har antytt också andra exempel, och jag håller före, herr talman, att de olägenheter, över vilka utskottet och lagens stiftare beklaga sig och alltid beklagat sig, utgöra skäl nog att företaga en så kallad utredning. Det är ett tråkigt och obehagligt ord, men här ligger det i alla fall realiteter bakom detsamma. Här utredes så mycket ändå, och då skulle man väl också kunna göra en utredning om de olägenheter, över vilka lagens stiftare och lagutskottet 1 detta sammanhang beklagat sig.</w:t>
      </w:r>
    </w:p>
    <w:p>
      <w:pPr>
        <w:pStyle w:val="Heading2"/>
      </w:pPr>
      <w:r>
        <w:t>3. Carl Lindhagen (–, man)</w:t>
      </w:r>
    </w:p>
    <w:p>
      <w:r>
        <w:rPr>
          <w:b w:val="0"/>
        </w:rPr>
        <w:t>I det förra ärendet var det ju ingen från utskottets sida som yttrade sig. Jag förmodar det berodde på, att det var ganska svårt att gå emot till och med utskottets egna medgivanden av tillvaron av ett missförhållande, till vilka jag 1 själva verket yrkat bifall.</w:t>
        <w:br/>
        <w:br/>
        <w:t>Här ha vi nu ett annat ärende, där utskottet däremot vågat sig på att ändra den nya lagstiftningen, på vilken man enligt det föregående betänkandet inte ens fick andas.</w:t>
        <w:br/>
        <w:br/>
        <w:t>Jag ber först att få tacka utskottet för att det i detta och närmast föregående utlåtande tagit in motionernas ordalydelse, som vi alltid gjorde i gamla tider, varigenom man fick lättare tillfälle att sätta sig in i vad saken rör sig om. Ty att vi leta reda på lösa motioner i våra pappersmassesamlingar förekommer ju sällan i riksdagen, och därför har man, då man 1 kamrarna går att behandla ett utskottsutlåtande, egentligen bara läst utskottets uppfattning och vet inte vad motionären menat. Av hänsyn till tryckningskostnaderna har den gamla seden, som var ett axiom i forna tider, att i utskottsbetänkandena också inta motionerna, upphävts, och utskotten stå således med ett kolossalt övertag, då man inte får läsa motpartens, om jag så får uttrycka mig, uppfattning och framställningssätt. Det är väl också ett bevis på parlamentarismens fortgående undergrävande av sig själv, att en tryckningskostnad gäller mer än upplysning i ett ärende, som kammaren skall gå att avgöra.</w:t>
        <w:br/>
        <w:br/>
        <w:t>Efter denna berömmelse åt utskottet i de två punkterna ber jag att få övergå till själva saken i det nu föredragna ämnet.</w:t>
        <w:br/>
        <w:br/>
        <w:t xml:space="preserve">Dessa båda lagar skilja sig egentligen däri, att den gamla lagen var byggd på mannens målsmanskap och hans övervälde över båda makarnas egendom, medan den nya lagen var framgången ur den </w:t>
      </w:r>
      <w:r>
        <w:rPr>
          <w:b/>
        </w:rPr>
        <w:t>kvinnosaksrörelse¹</w:t>
      </w:r>
      <w:r>
        <w:rPr>
          <w:b w:val="0"/>
        </w:rPr>
        <w:t xml:space="preserve">, som ville hävda gift </w:t>
      </w:r>
      <w:r>
        <w:rPr>
          <w:b/>
        </w:rPr>
        <w:t>kvinnas¹</w:t>
      </w:r>
      <w:r>
        <w:rPr>
          <w:b w:val="0"/>
        </w:rPr>
        <w:t xml:space="preserve"> äganderätt. Inför denna rörelse föllo både målsmanskapet och den gamla egendomsrätt, som mannen hade över </w:t>
      </w:r>
      <w:r>
        <w:rPr>
          <w:b/>
        </w:rPr>
        <w:t>hustruns²</w:t>
      </w:r>
      <w:r>
        <w:rPr>
          <w:b w:val="0"/>
        </w:rPr>
        <w:t xml:space="preserve"> egendom. Exempelsamlingen togs då från de </w:t>
      </w:r>
      <w:r>
        <w:rPr>
          <w:b/>
        </w:rPr>
        <w:t>hustrur²</w:t>
      </w:r>
      <w:r>
        <w:rPr>
          <w:b w:val="0"/>
        </w:rPr>
        <w:t xml:space="preserve">, som förde med sig förmögenhet 1 boet, vilken lätt skingrades av maken enligt den gamla lagens bestämmelser. Men man tänkte inte på de </w:t>
      </w:r>
      <w:r>
        <w:rPr>
          <w:b/>
        </w:rPr>
        <w:t>hustrur²</w:t>
      </w:r>
      <w:r>
        <w:rPr>
          <w:b w:val="0"/>
        </w:rPr>
        <w:t xml:space="preserve">, som inte medförde annat 1 äktenskapet än sin arbetskraft. Men denna var lika viktig för mannen som hans inkomster, och </w:t>
      </w:r>
      <w:r>
        <w:rPr>
          <w:b/>
        </w:rPr>
        <w:t>hennes²</w:t>
      </w:r>
      <w:r>
        <w:rPr>
          <w:b w:val="0"/>
        </w:rPr>
        <w:t xml:space="preserve"> vårdnad om hem och barn innebar ideella värden, som ofta voro av mycket större betydelse än annat, som kunde medföras 1 boet. Den nya lagen förbisåg alltså att skydda de </w:t>
      </w:r>
      <w:r>
        <w:rPr>
          <w:b/>
        </w:rPr>
        <w:t>kvinnor¹</w:t>
      </w:r>
      <w:r>
        <w:rPr>
          <w:b w:val="0"/>
        </w:rPr>
        <w:t xml:space="preserve">, som utan avsevärd förmögenhet ingått i äktenskap. På den tiden hade dessa mera sällan offentliga anställningar, av vilka de kunde påräkna någon inkomst som gifta. Numera går man ju så långt i förakt för den medellösa </w:t>
      </w:r>
      <w:r>
        <w:rPr>
          <w:b/>
        </w:rPr>
        <w:t>hustrun²</w:t>
      </w:r>
      <w:r>
        <w:rPr>
          <w:b w:val="0"/>
        </w:rPr>
        <w:t xml:space="preserve">, att man säger, att om </w:t>
      </w:r>
      <w:r>
        <w:rPr>
          <w:b/>
        </w:rPr>
        <w:t>hon²</w:t>
      </w:r>
      <w:r>
        <w:rPr>
          <w:b w:val="0"/>
        </w:rPr>
        <w:t xml:space="preserve"> före äktenskapet haft en befattning, så bör </w:t>
      </w:r>
      <w:r>
        <w:rPr>
          <w:b/>
        </w:rPr>
        <w:t>hon²</w:t>
      </w:r>
      <w:r>
        <w:rPr>
          <w:b w:val="0"/>
        </w:rPr>
        <w:t xml:space="preserve"> lämna den för att ge en plats ledig åt någon annan, som saknar arbete. Med andra ord, sådana män och </w:t>
      </w:r>
      <w:r>
        <w:rPr>
          <w:b/>
        </w:rPr>
        <w:t>kvinnor¹</w:t>
      </w:r>
      <w:r>
        <w:rPr>
          <w:b w:val="0"/>
        </w:rPr>
        <w:t>, som inte kunna ingå äktenskap, därför att de nödvändigt behöva inkomster av</w:t>
        <w:br/>
        <w:br/>
        <w:t xml:space="preserve">Enligt den gamla lagen hade </w:t>
      </w:r>
      <w:r>
        <w:rPr>
          <w:b/>
        </w:rPr>
        <w:t>hustrun²</w:t>
      </w:r>
      <w:r>
        <w:rPr>
          <w:b w:val="0"/>
        </w:rPr>
        <w:t xml:space="preserve"> dock giftorätt i hälften av mannens besparingar, men den nya lagen har gjort ett visserligen tämligen valhänt och i praktiken kanske inte så betydelsefullt men till meningen klart medgivande att denna rättvisa bör under den nya lagen åtminstone uppmuntras på frivillighetens väg. Ett äktenskapsförord kan ju bryta alla cirklar, men den bestämmelse det är fråga om gäller för det fall, att intet äktenskapsförord är upprättat. Paragrafen är till förmån för bägge makarna, men jag talar särskilt om </w:t>
      </w:r>
      <w:r>
        <w:rPr>
          <w:b/>
        </w:rPr>
        <w:t>hustrun²</w:t>
      </w:r>
      <w:r>
        <w:rPr>
          <w:b w:val="0"/>
        </w:rPr>
        <w:t xml:space="preserve">, ty för </w:t>
      </w:r>
      <w:r>
        <w:rPr>
          <w:b/>
        </w:rPr>
        <w:t>henne²</w:t>
      </w:r>
      <w:r>
        <w:rPr>
          <w:b w:val="0"/>
        </w:rPr>
        <w:t xml:space="preserve"> har det den största betydelsen. Det står alltså: »Make, å vars inkomst under loppet av ett kalenderår uppkommit besparing, äge, utan upprättande av äktenskapsförord, före utgången av följande året till andra maken utan vederlag överlåta egendom till belopp motsvarande högst hälften av vad som besparats.» Med andra ord, man vill låta </w:t>
      </w:r>
      <w:r>
        <w:rPr>
          <w:b/>
        </w:rPr>
        <w:t>hustrun²</w:t>
      </w:r>
      <w:r>
        <w:rPr>
          <w:b w:val="0"/>
        </w:rPr>
        <w:t xml:space="preserve"> få rätt att som sin egendom få avskild hälften av mannens besparingar, vilket var lag enligt den gamla lagen, men för att det skall gälla mot borgenärerna har man nu försiktigtvis tillagt, att det skall ske genom en skriftlig handling, som är styrkt av vittnen, och dessutom skall överlåtaren ha kvar egendom, som uppenbarligen motsvarar hans gäld vid tillfället. Hur det går sedan under händelsernas lopp här i världen, det inverkar inte på lagligheten av en sådan överlåtelse. Nu är alltsammans naturligtvis beroende på, om mannen vill göra det eller kan förmås att göra det för </w:t>
      </w:r>
      <w:r>
        <w:rPr>
          <w:b/>
        </w:rPr>
        <w:t>hustrun²</w:t>
      </w:r>
      <w:r>
        <w:rPr>
          <w:b w:val="0"/>
        </w:rPr>
        <w:t xml:space="preserve">, eller om de bägge två ha nog förtänksamhet, vilket de förmodligen sällan ha, att ena sig om, att det nog vore lämpligt att trygga särskilt </w:t>
      </w:r>
      <w:r>
        <w:rPr>
          <w:b/>
        </w:rPr>
        <w:t>hustrur²</w:t>
      </w:r>
      <w:r>
        <w:rPr>
          <w:b w:val="0"/>
        </w:rPr>
        <w:t xml:space="preserve"> utan anställning på det sättet.</w:t>
        <w:br/>
        <w:br/>
        <w:t xml:space="preserve">Nu återkommer jag till den stora skillnaden mellan den gamla och den nya lagen, nämligen att den nya lagen, som sagt, mest tänker på </w:t>
      </w:r>
      <w:r>
        <w:rPr>
          <w:b/>
        </w:rPr>
        <w:t>hustrur²</w:t>
      </w:r>
      <w:r>
        <w:rPr>
          <w:b w:val="0"/>
        </w:rPr>
        <w:t xml:space="preserve">, som medfört förmögenhet, vilket var upprinnelsen till lagstiftningen, men inte tänker på, att enligt naturens eller samhällets ordning — jag vet inte vilketdera, det kanske är bägge två — är </w:t>
      </w:r>
      <w:r>
        <w:rPr>
          <w:b/>
        </w:rPr>
        <w:t>hustrun²</w:t>
      </w:r>
      <w:r>
        <w:rPr>
          <w:b w:val="0"/>
        </w:rPr>
        <w:t xml:space="preserve"> nedtryckt till de sämsta arbetsförtjänsterna och de minsta möjligheterna till karriär och befordran. Det är manmen, som, efter vad det tycks enligt en naturlags makt, verkar utåt och förestår den stora rulljangsen utanför hemmet och medför inkomsterna, alldeles som i fågelvärlden, där maken far ut och skaffar inkomster, det vill säga näring, medan modern sitter hemma och sköter om, att näringen också kommer i </w:t>
      </w:r>
      <w:r>
        <w:rPr>
          <w:b/>
        </w:rPr>
        <w:t>henne²</w:t>
      </w:r>
      <w:r>
        <w:rPr>
          <w:b w:val="0"/>
        </w:rPr>
        <w:t xml:space="preserve"> och i ungarna. Nu är det emellertid så, att dessa värnlösa </w:t>
      </w:r>
      <w:r>
        <w:rPr>
          <w:b/>
        </w:rPr>
        <w:t>hustrur²</w:t>
      </w:r>
      <w:r>
        <w:rPr>
          <w:b w:val="0"/>
        </w:rPr>
        <w:t xml:space="preserve"> — värnlösa, när hemmet blir upplöst genom skilsmässa, genom döden eller genom andra omständigheter — kunna behöva ett ekonomiskt stöd, och det skulle de i många fall kunna få enligt detta lagrum, som ger dem möjlighet att få till sig utskiftad hälften av mannens besparingar under föregående år. Det är denna hälft och denna lagens välmening, som man nu vill jämka till skada för </w:t>
      </w:r>
      <w:r>
        <w:rPr>
          <w:b/>
        </w:rPr>
        <w:t>hustrurna²</w:t>
      </w:r>
      <w:r>
        <w:rPr>
          <w:b w:val="0"/>
        </w:rPr>
        <w:t>.</w:t>
        <w:br/>
        <w:br/>
        <w:t xml:space="preserve">Motionärerna ha tydligen tänkt på den stora rulljangsen, det ser nästan ut, som om de velat dra fram exempel från Kreugeraffären, där fruarna med stöd av detta lagrum fått till sig skriftligen överlåtna stora andelar, kanske rent av hälften, av de obegränsade förtjänster, som männen haft. När så konjunkturerna gått utför, och männens förtjänster upphört, så sitta borgenärerna där och ha inget väsentligt att ta eller åtminstone inte mer än hälften av männens besparingar, under det en </w:t>
      </w:r>
      <w:r>
        <w:rPr>
          <w:b/>
        </w:rPr>
        <w:t>hustru²</w:t>
      </w:r>
      <w:r>
        <w:rPr>
          <w:b w:val="0"/>
        </w:rPr>
        <w:t xml:space="preserve"> kan sitta inne med jag tror det säges 500,000 kronor av mannens besparingar. Det är naturligtvis ett sällsynt fall, men för detta ändamål, för att rädda åt Kreugerborgenärerna så</w:t>
        <w:br/>
        <w:br/>
        <w:t xml:space="preserve">Ang. makes rätt att till make överlåta egendom. (Forts.) gott som mannens hela förtjänst och inte bara hälften, skulle nu alla vanliga </w:t>
      </w:r>
      <w:r>
        <w:rPr>
          <w:b/>
        </w:rPr>
        <w:t>hustrur²</w:t>
      </w:r>
      <w:r>
        <w:rPr>
          <w:b w:val="0"/>
        </w:rPr>
        <w:t xml:space="preserve"> sättas på inknappning. Man tar med andra ord bara hänsyn till borgenärerna och till borgenärerna i gulaschkonkurser men inte till det vanliga livets </w:t>
      </w:r>
      <w:r>
        <w:rPr>
          <w:b/>
        </w:rPr>
        <w:t>kvinnor¹</w:t>
      </w:r>
      <w:r>
        <w:rPr>
          <w:b w:val="0"/>
        </w:rPr>
        <w:t xml:space="preserve"> och män. Därför tycker jag, att själva ändringen är alldeles onödig och inte på sin plats. Det visste man väl, då lagen stiftades, att sådant kunde komma i fråga. Även oavsett den ändring, som här föreslås, kan man undgå antydda verkningar genom att, såsom numera är tillåtet, genom äktenskapsförord under äktenskapet åstadkomma en annan ordning. Då betyder denna ändring ingenting. Jag förmodar, att dessa stora affärsmän också ha tillgång till advokater, som i ett nafs ordna saken åt makarna genom ett äktenskapsförord och då hjälper den nu föreslagna lagändringen borgenärerna icke det minsta. Hela denna lagändring, som här anses vara så viktig men som i alla fall är så oerhört valhänt, får till slut ingen praktisk betydelse för de stora förmögna, med advokathjälp utrustade äktenskapen, om vilka jag har talat och som motionärerna tydligen ha tänkt på, då de rört sig med dessa kolossala tal, som för varje annat äktenskap äro rena drömmerier.</w:t>
        <w:br/>
        <w:br/>
        <w:t xml:space="preserve">Nu ha emellertid motionärerna yrkat, att utom det, att lagrummet skall få stå kvar som det lyder, skall det där värdet, hälften av besparingarna, ytterligare begränsas. Herr Stendahl, det är jag som har ordet! Om det inte stör alltför mycket, kanske herr Stendahl kan gå ut i korridaren och där prata högt med herr Linder. Ja, nu kom jag av mig genom herr Stendahls obehöriga utnyttjande av yttrandefriheten. — Jo, nu ha dessa motionärer i alla fall varit så pass generösa, att de satt ett maximum av 10,000 kronor, men då rusar utskottet enhälligt, utan att någon bett det om det, och säger, att här skall det göras ännu grundligare, här skall sänkas till 5,000 kr. Jag har mig bekant, att två ledamöter av lagberedningen, som varit med om lagens beredande, herrar Ekeberg och Stenbeck, på fråga erinrat, att det ju inte varit meningen, att lagen skulle kunna användas på det omotiverade sättet, och därför kunde det möjligen vara ett visst fog för att göra en ändring, men att sänka det </w:t>
      </w:r>
      <w:r>
        <w:rPr>
          <w:b/>
        </w:rPr>
        <w:t>hustrun²</w:t>
      </w:r>
      <w:r>
        <w:rPr>
          <w:b w:val="0"/>
        </w:rPr>
        <w:t xml:space="preserve"> tillmätta beloppet till 5,000 kr. vore alldeles för lågt. Det har också justitierådet Lindhagen, som stått denna lagstiftning nära, förmenat.</w:t>
        <w:br/>
        <w:br/>
        <w:t>Själv har jag nu sagt, att det inte alls finns fog därför, ty det kan ju göras äktenskapsförord inom äktenskapet, och med de rikliga tillfällen att anlita advokater, som förmögna makar ha, kunna de komma till samma resultat. Egentligen skulle jag inte behöva åberopa auktoriteter, men för dem, som inte förstå denna invecklade juridik, bör det göra intryck att få höra, att lagens stiftare ställa sig kritiska till utskottets förslag.</w:t>
        <w:br/>
        <w:br/>
        <w:t>På grund av vad som sålunda anförts, får jag yrka avslag på motionerna och på utskottets betänkande, men bifalles inte detta yrkande, får jag yrka bifall till motionerna och avslag under alla förhållanden på utskottets betänkande.</w:t>
      </w:r>
    </w:p>
    <w:p>
      <w:pPr>
        <w:pStyle w:val="Heading2"/>
      </w:pPr>
      <w:r>
        <w:t>4. Assar Åkerman (Socialdemokraterna, man)</w:t>
      </w:r>
    </w:p>
    <w:p>
      <w:r>
        <w:rPr>
          <w:b w:val="0"/>
        </w:rPr>
        <w:t>Jag ber att få yrka bifall till utskottets förslag.</w:t>
        <w:br/>
        <w:br/>
        <w:t>Jag vädjar till alla dem, som ha varit så vänliga att höra på den föregående talaren, om de ändå inte liksom jag tycka, att han på vissa punkter har missförstått den gällande rätten och helt och hållet missförstått motionen och lagutskottets utlåtande. Ty vad är det frågan om här? Jo, först och främst är det inte alls tal om, att här kan riktas den anmärkningen mot utskottet, att det varit inkonsekvent. Det talades om vår ställning i föregående ärende, där vi visat allt för stor respekt för att låta ny lag rubba gällande rättsförhållanden. Men här är det ju inte alls fråga om något sådant. Var och en, som läst igenom detta utskottsutlåtande och denna motion, som är tämligen utför-</w:t>
        <w:br/>
        <w:br/>
        <w:t xml:space="preserve">Ang. makes rätt att till make överlåta egendom. (Forts.) ligt citerad i utlåtandet, skall finna, att här är det blott fråga om att underlätta för den ena maken att överföra egendom i den andras besittning. Det gäller huvudsakligen </w:t>
      </w:r>
      <w:r>
        <w:rPr>
          <w:b/>
        </w:rPr>
        <w:t>hustrurna²</w:t>
      </w:r>
      <w:r>
        <w:rPr>
          <w:b w:val="0"/>
        </w:rPr>
        <w:t xml:space="preserve">. Om det är en sparsam </w:t>
      </w:r>
      <w:r>
        <w:rPr>
          <w:b/>
        </w:rPr>
        <w:t>hustru²</w:t>
      </w:r>
      <w:r>
        <w:rPr>
          <w:b w:val="0"/>
        </w:rPr>
        <w:t xml:space="preserve">, som genom sin duglighet bidrar till de besparingar, som göras under ett år, så har man i den gällande lagen velat underlätta för mannen att i </w:t>
      </w:r>
      <w:r>
        <w:rPr>
          <w:b/>
        </w:rPr>
        <w:t>hennes²</w:t>
      </w:r>
      <w:r>
        <w:rPr>
          <w:b w:val="0"/>
        </w:rPr>
        <w:t xml:space="preserve"> ägo överföra viss egendom.</w:t>
        <w:br/>
        <w:br/>
        <w:t xml:space="preserve">Herr Lindhagen vill nu göra troligt, att de siffror, som här förekomma, 10,000 och 5,000 kronor, skulle på något sätt ingripa störande i vanligt folks och menige mans affärer. Det vågar jag verkligen bestrida. Det skall vara huggarn till </w:t>
      </w:r>
      <w:r>
        <w:rPr>
          <w:b/>
        </w:rPr>
        <w:t>hushållerska³</w:t>
      </w:r>
      <w:r>
        <w:rPr>
          <w:b w:val="0"/>
        </w:rPr>
        <w:t>, som skall kunna spara så mycket pengar, att det inte kan räcka med 5,000 om året i belöning. Det vore högst märkvärdigt, och jag kan absolut inte begripa, hur herr Lindhagen kan tolka detta förslag som ett angrepp mot småfolket. Att vi nu i lagutskottet behandlat motionen så, att vi reviderat och företagit några jämkningar i den framlagda lagtexten, erkänner jag, är ett mycket ovanligt tillvägagångssätt, men det kan någon gång förekomma och jag skulle kunna anföra exempel därpå. Att vi gjort det, berodde på att en förnuftig bestämmelse i den nya giftermålsbalken på det mest skamlösa sätt missbrukats. Då man påpekar ett missförhållande, som står på gränsen till knep, tycker jag verkligen, att lagutskottet någon gång för omväxlings skull kan våga sig på att framlägga en lagtext, när den inte är svårare än den här.</w:t>
        <w:br/>
        <w:br/>
        <w:t>Nu skall jag inte i likhet med den föregående talaren stå här och åberopa auktoriteter. Jag vill i alla fall nämna, att lagutskottet inte vidtagit denna åtgärd utan att vara förvissat om, att vi befunno oss på säker mark. Men jag skall inte nämna några namn, ty håller man på på det här sättet, kanske man till sist en dag inte får några råd av personer, vilkas omdöme man litar på, om de sedan skola figurera här i kammaren, Jag vill säga, att jag tycker inte riktigt om denna metod.</w:t>
        <w:br/>
        <w:br/>
        <w:t>Herr Lindhagen har nu något ironiskt komplimenterat utskottet för att vi avtryckt motionen i utlåtandet. Ja, det gjorde vi också i det förra ärendet. Det gör man någon gång, då motionen behöver återges för att verkligen tjäna till hjälp vid författandet av utskottsutlåtandet. Men att man de senaste åren blivit sparsam beträffande citat av motioner tycker jag, att den föregående ärade talaren borde vara den siste att påtala, ty jag tror, att han i viss mån själv givit anledning till att man numera beslutat vara mera återhållsam i fråga om avtryckning av motioner, än man var tidigare. Jag tycker, att det rådande systemet — även om man någon gång, när så behövs, avviker från regeln — är högst förträffligt.</w:t>
        <w:br/>
        <w:br/>
        <w:t>Då jag nu fått ordet och eftersom herr Lindhagen berörde saken, vill jag begagna tillfället att säga, att min tystnad vid behandlingen av det förra ärendet berodde därpå, att jag har den uppfattningen, att det är tämligen onödigt med sådana här juridiska diskussioner i kammaren, då saken ligger så till, att man precis vet, hur det kommer att gå, i all synnerhet som man beträffande ärenden av denna omfattande och invecklade beskaffenhet måste hålla på längre tid, än som i allmänhet står till buds, för att en kammardiskussion verkligen skall bli givande för den, som sedan vill studera ämnet. Jag tror också, att allmänheten har en viss motvilja mot att juristerna här i kammaren stå och hudflänga varandra. Jag tycker det är bättre, att dessa strider försiggå 1 utskottet och att man i görligaste mån, där så utan skada kan ske, försöker att begränsa de juridiska dispyterna här i kammaren till det minsta möjliga. Att jag i detta ärende nödgats yttra mig är helt naturligt på grund av det sätt, varpå angreppet mot utskottet skett.</w:t>
        <w:br/>
        <w:br/>
        <w:t>Kontentan av vad jag velat framhålla är emellertid, att här icke förhål-</w:t>
      </w:r>
    </w:p>
    <w:p>
      <w:pPr>
        <w:pStyle w:val="Heading2"/>
      </w:pPr>
      <w:r>
        <w:t>5. Carl Lindhagen (–, man)</w:t>
      </w:r>
    </w:p>
    <w:p>
      <w:r>
        <w:rPr>
          <w:b w:val="0"/>
        </w:rPr>
        <w:t>Herr talman! Den siste talaren har ju nu manifesterat, att när det gäller juridiska frågor och utskottet så att säga sitter i orubbat bo och är enhälligt, behöver man inte diskutera saken med en opponent, ty då har man makten i sin hand och vet, att det kommer att bli på det sättet, och då är det kanske nästan rent oskickligt, om någon överhuvud ens upplåter sin mun mot ett segervisst utskott. Jag har inte den uppfattningen om parlamentarismens väsen, men skall parlamentarismen nu försvinna, är detta också ett bidrag till att ge vatten på den kvarn, som nu för ändamålet mal i vår tid. Jag förmodar dock, att den siste talaren till sist medgiver, att 52 $ riksdagsordningen också skall få gälla här, så att man får ge skäl för sin mening och har frihet att yttra sig, utan att det betraktas som ett obehörigt angrepp mot höga auktoriteter inför riksdagen, nämligen ett enhälligt utskott.</w:t>
        <w:br/>
        <w:br/>
        <w:t xml:space="preserve">Nu har den här saken en viss gemenskap med det förra ärendet — visserligen spelar detta inte någon roll, då det ligger på sidan om det hela — ty det förra ärendet avsåg ju, att för äldre äktenskap skulle den nya lagen gälla, och här gäller det, kan man säga, en motsatt uppfattning; här skall man se till, att enligt den nya lagen den grundsats, som gällde för de äldre äktenskapen, skall åtminstone i någon mån träda i kraft. Det har lagstiftaren menat med att hälften av mannens sparade förtjänst skall kunna tillfalla </w:t>
      </w:r>
      <w:r>
        <w:rPr>
          <w:b/>
        </w:rPr>
        <w:t>hustrun²</w:t>
      </w:r>
      <w:r>
        <w:rPr>
          <w:b w:val="0"/>
        </w:rPr>
        <w:t xml:space="preserve"> utan några omgångar. För detta har ju givits bestämt skäl, som utskottsordföranden väsentligen kringgår genom sin uppfattning, att man inte behöver svara den, som försvarar en sak, vilken ej har utsikt att vinna gehör i kammaren, därför att utskottet är enhälligt och kammaren inte är inne i saken.</w:t>
        <w:br/>
        <w:br/>
        <w:t xml:space="preserve">Nu vet jag ej, om dessa missförhållanden ha inskränkt sig till Kreugerfallen. Det står inte i utskottsutlåtandet, och det är inte riktigt säkert, om det blivit någon avsevärd praxis att kringgå lagen på detta sätt. Även motionärerna äro ganska fåordiga på denna punkt och nöja sig med att anföra exempel på vad som skulle kunna inträffa. Men jag har sagt, att när man i sådana stora affärsförhållanden vill kringgå även den här bestämmelsen, har man ju möjlighet att upprätta äktenskapsförord under äktenskapet. En mängd advokatbyråer stå till tjänst med att åt dem, som ha råd, inrätta det så, och då blir ändringen i denna paragraf bragt ur spelet. Men det kan även bland den övriga, vanliga mänskligheten — dit räknar jag också medelklassen — finnas män, som ett år händelsevis sparat 20,000 kronor av sin förtjänst, och då borde en sådan man ha rätt att överföra hälften till </w:t>
      </w:r>
      <w:r>
        <w:rPr>
          <w:b/>
        </w:rPr>
        <w:t>hustrun²</w:t>
      </w:r>
      <w:r>
        <w:rPr>
          <w:b w:val="0"/>
        </w:rPr>
        <w:t xml:space="preserve">. Ett annat år förtjänar han kanske ingenting, men då har </w:t>
      </w:r>
      <w:r>
        <w:rPr>
          <w:b/>
        </w:rPr>
        <w:t>hon²</w:t>
      </w:r>
      <w:r>
        <w:rPr>
          <w:b w:val="0"/>
        </w:rPr>
        <w:t xml:space="preserve"> i alla fall hälften av denna besparing, och om mannen dör eller om det blir skilsmässa, har </w:t>
      </w:r>
      <w:r>
        <w:rPr>
          <w:b/>
        </w:rPr>
        <w:t>hon²</w:t>
      </w:r>
      <w:r>
        <w:rPr>
          <w:b w:val="0"/>
        </w:rPr>
        <w:t xml:space="preserve"> den också kvar som stöd. Motionärerna ha själva ansett, att man skall sätta maximum så högt som till 10,000 kronor, under det att utskottet skyndat sig att sätta ned det till 5,000 kronor, och det var om detta jag tillät mig anföra, att även lagens stiftare ansågo det vara orimligt. Det tyckte lagutskottets ordförande inte om, och jag förstår, att han inte gjorde det. Men jag tyckte om det, och därför sade jag det.</w:t>
      </w:r>
    </w:p>
    <w:p>
      <w:pPr>
        <w:pStyle w:val="Heading2"/>
      </w:pPr>
      <w:r>
        <w:t>6. Ernst Klefbeck (Socialdemokraterna, man)</w:t>
      </w:r>
    </w:p>
    <w:p>
      <w:r>
        <w:rPr>
          <w:b w:val="0"/>
        </w:rPr>
        <w:t xml:space="preserve">Herr talman! Herr Lindhagens angrepp har fått den formen, som om lagutskottet skulle ha sökt upphäva den paragraf, om vilken nu är tal, där vi dock endast föreslå en liten ändring. Den paragrafen är ju teoretiskt berättigad. Den åsyftar att säkra det förhållandet, att om genom </w:t>
      </w:r>
      <w:r>
        <w:rPr>
          <w:b/>
        </w:rPr>
        <w:t>hustruns²</w:t>
      </w:r>
      <w:r>
        <w:rPr>
          <w:b w:val="0"/>
        </w:rPr>
        <w:t xml:space="preserve"> omtanke besparingar kunnat göras under årets lopp i mannens arbetsförtjänst, så skulle mannen vid årets slut ha rätt att såsom uppmuntran åt </w:t>
      </w:r>
      <w:r>
        <w:rPr>
          <w:b/>
        </w:rPr>
        <w:t>henne²</w:t>
      </w:r>
      <w:r>
        <w:rPr>
          <w:b w:val="0"/>
        </w:rPr>
        <w:t xml:space="preserve"> lämna en viss gåva — intill hälften av det sparade beloppet. Mot den grundsatsen har utskottet inte gjort någon som helst invändning utan anser alltjämt densamma berättigad. Men nu har det visat sig, att denna paragraf kunnat missbrukas till uppenbart skoj, och då har lagutskottet ansett det vara på sin plats, att man återför paragrafen till det, som den är avsedd att tjäna, men omöjliggör, att den får tjäna till att befrämja skoj. Då har man tänkt, att om en man av de besparingar, som uppkommit vid årets slut, får överlämna 5,000 kronor till </w:t>
      </w:r>
      <w:r>
        <w:rPr>
          <w:b/>
        </w:rPr>
        <w:t>hustrun²</w:t>
      </w:r>
      <w:r>
        <w:rPr>
          <w:b w:val="0"/>
        </w:rPr>
        <w:t xml:space="preserve"> som uppmuntran för </w:t>
      </w:r>
      <w:r>
        <w:rPr>
          <w:b/>
        </w:rPr>
        <w:t>hennes²</w:t>
      </w:r>
      <w:r>
        <w:rPr>
          <w:b w:val="0"/>
        </w:rPr>
        <w:t xml:space="preserve"> gärning, är detta en åtgärd, som fullt överensstämmer med hela lagens syfte.</w:t>
        <w:br/>
        <w:br/>
        <w:t>Nu säger herr Lindhagen, att det ännu inte blivit någon allmän praxis, att något skoj övas med paragrafens hjälp. Men det är väl inte meningen, att vi skola vänta med lagstiftning, tills sådana åtgöranden kommit i allmänt bruk, utan det är väl bättre att stämma i bäcken än i ån?</w:t>
        <w:br/>
        <w:br/>
        <w:t xml:space="preserve">Sedan säger herr Lindhagen, att vi inte tagit hänsyn till det vanliga livets </w:t>
      </w:r>
      <w:r>
        <w:rPr>
          <w:b/>
        </w:rPr>
        <w:t>kvinnor¹</w:t>
      </w:r>
      <w:r>
        <w:rPr>
          <w:b w:val="0"/>
        </w:rPr>
        <w:t xml:space="preserve"> och män, men vi mena alldeles tvärtom, att det är just det vi gjort. Men samtidigt ha vi inte velat lämna möjlighet öppen för rikt folks män och </w:t>
      </w:r>
      <w:r>
        <w:rPr>
          <w:b/>
        </w:rPr>
        <w:t>kvinnor¹</w:t>
      </w:r>
      <w:r>
        <w:rPr>
          <w:b w:val="0"/>
        </w:rPr>
        <w:t xml:space="preserve"> att bedriva skoj med sina medel. Det finnes, såsom ordföranden framhöll, utan tvivel inte en enda bland det vanliga livets män, som är i den ställningen, att han av sina besparingar kan överlämna mer än 5,000 kronor till </w:t>
      </w:r>
      <w:r>
        <w:rPr>
          <w:b/>
        </w:rPr>
        <w:t>hustrun²</w:t>
      </w:r>
      <w:r>
        <w:rPr>
          <w:b w:val="0"/>
        </w:rPr>
        <w:t xml:space="preserve"> för </w:t>
      </w:r>
      <w:r>
        <w:rPr>
          <w:b/>
        </w:rPr>
        <w:t>hennes²</w:t>
      </w:r>
      <w:r>
        <w:rPr>
          <w:b w:val="0"/>
        </w:rPr>
        <w:t xml:space="preserve"> sätt att sköta hemmet. När vi satt denna summa som rig, ha vi just hållit oss till förhållandena bland det vanliga livets </w:t>
      </w:r>
      <w:r>
        <w:rPr>
          <w:b/>
        </w:rPr>
        <w:t>kvinnor¹</w:t>
      </w:r>
      <w:r>
        <w:rPr>
          <w:b w:val="0"/>
        </w:rPr>
        <w:t xml:space="preserve"> och män.</w:t>
        <w:br/>
        <w:br/>
        <w:t xml:space="preserve">Vad sedan för övrigt beträffar det rent praktiska livet, torde jag träffa sanningen ganska nära, om jag säger, att man får leta ganska mycket, innan man träffar på en enda man, som haft förstånd att på det sättet uppmuntra sin </w:t>
      </w:r>
      <w:r>
        <w:rPr>
          <w:b/>
        </w:rPr>
        <w:t>hustru²</w:t>
      </w:r>
      <w:r>
        <w:rPr>
          <w:b w:val="0"/>
        </w:rPr>
        <w:t xml:space="preserve"> för </w:t>
      </w:r>
      <w:r>
        <w:rPr>
          <w:b/>
        </w:rPr>
        <w:t>hennes²</w:t>
      </w:r>
      <w:r>
        <w:rPr>
          <w:b w:val="0"/>
        </w:rPr>
        <w:t xml:space="preserve"> arbete. Om jag skulle vädja till kammarkamraterna här, skulle jag förvåna mig, om jag finge höra, att det finnes en enda av er, som vid slutet av ett år lämnat sin </w:t>
      </w:r>
      <w:r>
        <w:rPr>
          <w:b/>
        </w:rPr>
        <w:t>hustru²</w:t>
      </w:r>
      <w:r>
        <w:rPr>
          <w:b w:val="0"/>
        </w:rPr>
        <w:t xml:space="preserve"> 5,000 eller 10,000 kronor av gjorda besparingar som uppmuntran för </w:t>
      </w:r>
      <w:r>
        <w:rPr>
          <w:b/>
        </w:rPr>
        <w:t>hennes²</w:t>
      </w:r>
      <w:r>
        <w:rPr>
          <w:b w:val="0"/>
        </w:rPr>
        <w:t xml:space="preserve"> åtgärder i hushållet. Det rör sig således om en teoretisk sak, som vi anse vara riktig och värd allt erkännande men som vi vilja hålla inom rimliga gränser, så att det inte skall kunna drivas skoj därmed.</w:t>
        <w:br/>
        <w:br/>
        <w:t>Detta är utskottets ståndpunkt, och jag ber att få yrka bifall till densamma.</w:t>
      </w:r>
    </w:p>
    <w:p>
      <w:pPr>
        <w:pStyle w:val="Heading2"/>
      </w:pPr>
      <w:r>
        <w:t>7. William Linder (Socialdemokraterna, man)</w:t>
      </w:r>
    </w:p>
    <w:p>
      <w:r>
        <w:rPr>
          <w:b w:val="0"/>
        </w:rPr>
        <w:t>Herr talman! Jag skulle inte ha begärt ordet, om jag inte hade funnit det vara jämförelsevis onödigt att pruta ned beloppet till 5,000 kronor. Då lagens bestämmelse förut talat om hälften, vet jag inte, varför man nu här skall gå ett så avsevärt steg nedåt i stället för att stanna vid vad motionärerna ha föreslagit eller 10,000 kronor. Jag yrkar därför bifall till vad som i motionen hemställes i avseende å beloppets storlek.</w:t>
        <w:br/>
        <w:br/>
        <w:t>När jag nu har ordet, vill jag begagna tillfället — eftersom lagutskottets ordförande inte gjorde mig den äran, när det gällde min egen motion — att påtala, att han, i stället för att svara på rätt ställe, tar sig för att ge en liten stöt vid behandlingen av ett senare ärende, som för övrigt inte alls har med den förra saken att skaffa. Nu säger han, att juristerna i kammaren överhuvud borde yttra sig så litet som möjligt, så att det inte bleve något slags</w:t>
        <w:br/>
        <w:br/>
        <w:t>Ang. makes rätt att till make överlåta egendom. (Forts.) juridiska diskussioner här. Jag vet verkligen inte, om detta är berättigat. Hur skall man då göra, om det är en lagstiftningsfråga, som man är intresserad av, om man inte som ledamot av kammaren skall få lov att bringa den under kammarens prövning och få den behandlad av lagutskott? Man har ju inte rätt att gå till lagutskottet direkt och tigga sig till ett utlåtande, utan man måste gå den vanliga vägen. Även om det någon gång förekommit, att juristerna varit litet ivriga i kammaren, när juridiska spörsmål varit på tal, tycker jag inte, att vi missbrukat denna vår rätt att tala. I varje fall tror Jag, Ht jag för min personliga del aldrig i onödan tagit kammarens tid i anspråk.</w:t>
      </w:r>
    </w:p>
    <w:p>
      <w:pPr>
        <w:pStyle w:val="Heading2"/>
      </w:pPr>
      <w:r>
        <w:t>8. Carl Lindhagen (–, man)</w:t>
      </w:r>
    </w:p>
    <w:p>
      <w:r>
        <w:rPr>
          <w:b w:val="0"/>
        </w:rPr>
        <w:t xml:space="preserve">Herr talman! Med hänsyn till det resonemang, som herr Klefbeck förde, förvånar det mig, att inte utskottet upphävt hela paragrafen. För det första förekommer det ingen tillämpning, sade han, och han vädjade till kammarens ledamöter: ha ni någonsin upplevat, att en man begagnat sig av detta lagrum och till sin </w:t>
      </w:r>
      <w:r>
        <w:rPr>
          <w:b/>
        </w:rPr>
        <w:t>hustru²</w:t>
      </w:r>
      <w:r>
        <w:rPr>
          <w:b w:val="0"/>
        </w:rPr>
        <w:t xml:space="preserve"> överfört hälften av sina besparingar; det har ju ingen praktisk betydelse. För det andra, när herr Klefbeck talar om att här inte gäller tanken på </w:t>
      </w:r>
      <w:r>
        <w:rPr>
          <w:b/>
        </w:rPr>
        <w:t>hustrun²</w:t>
      </w:r>
      <w:r>
        <w:rPr>
          <w:b w:val="0"/>
        </w:rPr>
        <w:t>, utan att förekomma skoj, vill jag invända, att skoj väl kan ske även med 5,000 kronor, och då blir det i mycket större omfattning, ty det finns ju flera personer, som ha råd att skoja med 5,000 kronor än med 10,000 kronor. Och likväl ämna ni låta paragrafen stå kvar och ge möjlighet till skoj för ett flertal, som kan begagna sig av densamma.</w:t>
        <w:br/>
        <w:br/>
        <w:t xml:space="preserve">Vidare formulerade Klefbeck sitt yttrande så att det inte förekomme, att en man så här ger något som uppmuntran åt sin </w:t>
      </w:r>
      <w:r>
        <w:rPr>
          <w:b/>
        </w:rPr>
        <w:t>hustru²</w:t>
      </w:r>
      <w:r>
        <w:rPr>
          <w:b w:val="0"/>
        </w:rPr>
        <w:t xml:space="preserve">. Jag tycker, att det helt och hållet strider mot Klefbecks mentalitet att fälla ett sådant yttrande. De är en fantom från det gamla målsmanskapet: mannen belönar sin </w:t>
      </w:r>
      <w:r>
        <w:rPr>
          <w:b/>
        </w:rPr>
        <w:t>hustru²</w:t>
      </w:r>
      <w:r>
        <w:rPr>
          <w:b w:val="0"/>
        </w:rPr>
        <w:t xml:space="preserve">, som går och släpar ihjäl sig för honom. Men det är ingen belöning, utan </w:t>
      </w:r>
      <w:r>
        <w:rPr>
          <w:b/>
        </w:rPr>
        <w:t>hennes²</w:t>
      </w:r>
      <w:r>
        <w:rPr>
          <w:b w:val="0"/>
        </w:rPr>
        <w:t xml:space="preserve"> rätt att få hälften av hans besparingar! </w:t>
      </w:r>
      <w:r>
        <w:rPr>
          <w:b/>
        </w:rPr>
        <w:t>Hon²</w:t>
      </w:r>
      <w:r>
        <w:rPr>
          <w:b w:val="0"/>
        </w:rPr>
        <w:t xml:space="preserve"> gör skäl för det i alla avseenden, mycket mer än mannen i många fall, ty det beror också i hög grad på </w:t>
      </w:r>
      <w:r>
        <w:rPr>
          <w:b/>
        </w:rPr>
        <w:t>hennes²</w:t>
      </w:r>
      <w:r>
        <w:rPr>
          <w:b w:val="0"/>
        </w:rPr>
        <w:t xml:space="preserve"> ekonomi, om mannen kan göra några besparingar. Så att det där gammaldags nedblickandet från målsmanskapets molnstoder vid horisonten, det skola vi be, att den nuvarande generationen upphör med.</w:t>
        <w:br/>
        <w:br/>
        <w:t xml:space="preserve">Jag sade nu bara, att när motionärerna nöjt sig med ett maximum av 10,000 kronor, finnes ingen anledning för utskottet att här ramla utför, som det gjort. Jag sade, att det inom medelklassen kan förekomma, att en man ett år förtjänar så mycket, att han kan lämna sin </w:t>
      </w:r>
      <w:r>
        <w:rPr>
          <w:b/>
        </w:rPr>
        <w:t>hustru²</w:t>
      </w:r>
      <w:r>
        <w:rPr>
          <w:b w:val="0"/>
        </w:rPr>
        <w:t xml:space="preserve"> 10,000 kronor. Om han sedan ett följande år inte har någon vidare förtjänst, är det bra, att </w:t>
      </w:r>
      <w:r>
        <w:rPr>
          <w:b/>
        </w:rPr>
        <w:t>hustrun²</w:t>
      </w:r>
      <w:r>
        <w:rPr>
          <w:b w:val="0"/>
        </w:rPr>
        <w:t xml:space="preserve"> fått dessa 10,000 kronor, särskilt om mannen faller ifrån. Då tycker jag, att det skulle varit utskottet värdigt att åtminstone inte gå lägre, än motionärerna för sin del föreslagit. Förresten, även om, såsom Klefbeck säger, detta inte har den ringaste betydelse för lagrummet, men han ändå vill behålla det, så är det väl ändå ett medgivande, att det kan stå kvar som princip, ty även grundsatser ha betydelse för det praktiska livet i tidernas längd. Det finns ju ett ordspråk, som säger, att det andliga är det mest praktiska. Således, om det finnes en sådan här bestämmelse till förmån för </w:t>
      </w:r>
      <w:r>
        <w:rPr>
          <w:b/>
        </w:rPr>
        <w:t>hustrun²</w:t>
      </w:r>
      <w:r>
        <w:rPr>
          <w:b w:val="0"/>
        </w:rPr>
        <w:t>, bör man säga, att den skall stå kvar för att uppmuntra till tillämpning, och det kan ske genom att männens organisationer sätta sig i spetsen och uppfostra sina egna medlemmar till detta. För det ändamålet har denna paragraf således en stor praktisk betydelse.</w:t>
        <w:br/>
        <w:br/>
        <w:t>Jag beklagar, att jag i denna punkt kommit att stå i så skarp opposition mot Klefbeck. Det är den enda gången det inträffat under min riksdagstid, men här har han blivit vilseförd av juristerna.</w:t>
      </w:r>
    </w:p>
    <w:p>
      <w:pPr>
        <w:pStyle w:val="Heading2"/>
      </w:pPr>
      <w:r>
        <w:t>9. Eliel Löfgren (Liberala riksdagspartiet, man)</w:t>
      </w:r>
    </w:p>
    <w:p>
      <w:r>
        <w:rPr>
          <w:b w:val="0"/>
        </w:rPr>
        <w:t>Herr talman! Jag skall för min del be att få instämma i det mesta av vad herr Lindhagen sagt, i första rummet beträffande yrkandet om avslag på utskottets hemställan och i andra rummet om bifall till motionen med det högre belopp, 10,000 kronor, som påyrkats.</w:t>
        <w:br/>
        <w:br/>
        <w:t xml:space="preserve">Jag tror, att man har i det exempel, som anföres i motionen, en smula överdrivit det faktiska förhållandet. Det antages där, att en person gjort en genomsnittlig årlig besparing av 150,000 kronor. Härav överlåter han till sin </w:t>
      </w:r>
      <w:r>
        <w:rPr>
          <w:b/>
        </w:rPr>
        <w:t>hustru²</w:t>
      </w:r>
      <w:r>
        <w:rPr>
          <w:b w:val="0"/>
        </w:rPr>
        <w:t xml:space="preserve"> 75,000 kronor. Så bryter en lågkonjunktur in. Hans verksamhet har varit ganska spekulativt inriktad. Inkomsterna sjunka starkt. Plötsligt blir han skuldsatt och försatt i konkurs, och borgenärerna få endast 25 procents utdelning. </w:t>
      </w:r>
      <w:r>
        <w:rPr>
          <w:b/>
        </w:rPr>
        <w:t>Hustrun²</w:t>
      </w:r>
      <w:r>
        <w:rPr>
          <w:b w:val="0"/>
        </w:rPr>
        <w:t xml:space="preserve"> sitter då med ett kapital på 4- å 500,000 kronor. — Men även om det icke skett några besparingar i ett sådant fall, överförda från mannen till </w:t>
      </w:r>
      <w:r>
        <w:rPr>
          <w:b/>
        </w:rPr>
        <w:t>hustrun²</w:t>
      </w:r>
      <w:r>
        <w:rPr>
          <w:b w:val="0"/>
        </w:rPr>
        <w:t xml:space="preserve"> vid varje års slut eller vid ett års slut, så har, ifall dessa skulder uppkommit genom mannens spekulation eller hans vållande, numera </w:t>
      </w:r>
      <w:r>
        <w:rPr>
          <w:b/>
        </w:rPr>
        <w:t>hustrun²</w:t>
      </w:r>
      <w:r>
        <w:rPr>
          <w:b w:val="0"/>
        </w:rPr>
        <w:t xml:space="preserve"> vid konkursen rätt till undanskiftande. Jag undrar också, om man icke en liten smula låtit sig skrämmas av oriktiga påståenden om vad som skulle inträffat i konkurser, som haft samband med den s. k. Kreugerkraschen. Man har hört rykten om ett par av de högre tjänstemän, som nu äro försatta i konkurs, att de skulle ha satt undan, som det heter, på sina familjer betydande kapital. I själva verket äro dessa rykten, om ej fullständigt osanna, i varje fall betydligt överdrivna. Vi ha sett, att dessa familjers hela egendom har sålts rubb och stubb. Men det kan mycket väl hända, och det är troligt på grund av det sätt, varpå dessa personers skulder uppkommit, att </w:t>
      </w:r>
      <w:r>
        <w:rPr>
          <w:b/>
        </w:rPr>
        <w:t>hustrun²</w:t>
      </w:r>
      <w:r>
        <w:rPr>
          <w:b w:val="0"/>
        </w:rPr>
        <w:t xml:space="preserve"> har rätt till undanskiftande. Den rätten har jag ej hört, att någon velat betaga </w:t>
      </w:r>
      <w:r>
        <w:rPr>
          <w:b/>
        </w:rPr>
        <w:t>henne²</w:t>
      </w:r>
      <w:r>
        <w:rPr>
          <w:b w:val="0"/>
        </w:rPr>
        <w:t>. Men dessutom är det riktigt vad herr Lindhagen säger, att man kan genom äktenskapsförord alldeles kringgå en bestämmelse som den föreslagna.</w:t>
        <w:br/>
        <w:br/>
        <w:t>Jag ser i förslaget en ny illustration till det tvivelaktiga tillvägagångssättet, att på en enskild motion lagutskottet sätter sig och skriver en lagtext. Det kan falla väl ut ibland, men oftast förbiser man det sammanhang, som en lagbestämmelse alltid har med en hel del andra i det komplex, till vilket en viss lag, som i detta fall äktenskapslagstiftningen, hör.</w:t>
        <w:br/>
        <w:br/>
        <w:t>Jag ber sålunda att i första rummet få yrka avslag på utskottets hemställan och i andra rummet — om herr Lindhagen vidhåller sitt yrkande därvidlag — bifall till motionen.</w:t>
      </w:r>
    </w:p>
    <w:p>
      <w:pPr>
        <w:pStyle w:val="Heading2"/>
      </w:pPr>
      <w:r>
        <w:t>10. Ernst Klefbeck (Socialdemokraterna, man)</w:t>
      </w:r>
    </w:p>
    <w:p>
      <w:r>
        <w:rPr>
          <w:b w:val="0"/>
        </w:rPr>
        <w:t>Herr talman! Det är synnerligen svårt att diskutera med herr Lindhagen, ty, som jag åtminstone tyckte, framställde han ej mina argument så som jag anförde dem eller åtminstone ville göra det. Om man skall bemöta en person, får man väl allra först och främst hålla sig till vad han sagt.</w:t>
        <w:br/>
        <w:br/>
        <w:t xml:space="preserve">Herr Lindhagen ville göra gällande, att jag försvarar det gamla målsmanskapet, som jag var med om att avskaffa 1920; att jag ville förmena </w:t>
      </w:r>
      <w:r>
        <w:rPr>
          <w:b/>
        </w:rPr>
        <w:t>hustrun²</w:t>
      </w:r>
      <w:r>
        <w:rPr>
          <w:b w:val="0"/>
        </w:rPr>
        <w:t xml:space="preserve"> rätt till gjorda besparingar och att jag skulle ha sagt, att </w:t>
      </w:r>
      <w:r>
        <w:rPr>
          <w:b/>
        </w:rPr>
        <w:t>hon²</w:t>
      </w:r>
      <w:r>
        <w:rPr>
          <w:b w:val="0"/>
        </w:rPr>
        <w:t xml:space="preserve"> fick det bara av mannens nåd. Allt det där kännes jag icke vid.</w:t>
        <w:br/>
        <w:br/>
        <w:t>Vidare sade han, att det i denna paragraf gäller en princip, som man skall bevara, även om den icke har så stor praktisk betydelse. Det var just det jag framhöll, att lagen har den betydelsen, att den är teoretiskt riktig och ger uttryck åt en riktig tanke, fast den sedan i praktiken ej har så mycken tillämpning. Således, allt det där, han riktade mot mig, kännes jag icke vid, utan menar, att jag i det stycket står på precis samma ståndpunkt som han. Han erkände ju själv, att bestämmelsen i praktiken ej hade så stor tillämpning. Om detta sedan är ledsamt eller ej, har jag icke yttrat mig om. Jag bara påpekade själva faktum. Och om jag finge vara närgången, ville jag fråga min gamle</w:t>
      </w:r>
    </w:p>
    <w:p>
      <w:pPr>
        <w:pStyle w:val="Heading2"/>
      </w:pPr>
      <w:r>
        <w:t>11. Carl Lindhagen (–, man)</w:t>
      </w:r>
    </w:p>
    <w:p>
      <w:r>
        <w:rPr>
          <w:b w:val="0"/>
        </w:rPr>
        <w:t xml:space="preserve">Jag kan icke godtaga vad Klefbeck yttrade nu, ty jag har icke sagt något sådant, som han påstod, utan jag sade, att när han yttrade sig om att mannen kunde uppmuntra </w:t>
      </w:r>
      <w:r>
        <w:rPr>
          <w:b/>
        </w:rPr>
        <w:t>hustrun²</w:t>
      </w:r>
      <w:r>
        <w:rPr>
          <w:b w:val="0"/>
        </w:rPr>
        <w:t xml:space="preserve"> med att ge </w:t>
      </w:r>
      <w:r>
        <w:rPr>
          <w:b/>
        </w:rPr>
        <w:t>henne²</w:t>
      </w:r>
      <w:r>
        <w:rPr>
          <w:b w:val="0"/>
        </w:rPr>
        <w:t xml:space="preserve"> något, var det en fläkt av det där, som legat i luften från det gamla målsmanskapet, naturligtvis ofrivilligt, men själva frasen ligger kvar i generationen och det är endast liemannen, som blir den verkliga reformatorn på detta område. Det var allt vad jag sade.</w:t>
        <w:br/>
        <w:br/>
        <w:t xml:space="preserve">Vad för övrigt angår besparingarna, vill jag säga, att den, som är pensionerad, gör inga besparingar, herr Klefbeck. Det finns ingen möjlighet alls till det. — Men om vi nu skola blanda in det också, vill jag säga: det relativa välstånd, jag haft förut, är till största delen eller helt och hållet min </w:t>
      </w:r>
      <w:r>
        <w:rPr>
          <w:b/>
        </w:rPr>
        <w:t>hustrus²</w:t>
      </w:r>
      <w:r>
        <w:rPr>
          <w:b w:val="0"/>
        </w:rPr>
        <w:t xml:space="preserve"> förtjänst, och därför ha vi gjort inbördes förord under äktenskapet, varigenom </w:t>
      </w:r>
      <w:r>
        <w:rPr>
          <w:b/>
        </w:rPr>
        <w:t>hon²</w:t>
      </w:r>
      <w:r>
        <w:rPr>
          <w:b w:val="0"/>
        </w:rPr>
        <w:t>, oberoende av utskottets lagändring, tillerkännes sin behöriga rätt till hälften av allting. Det tycker jag inte behövde talas om här, men det visar att Klefbeck behöver även svänga sig för att kunna komma fram till något försvar för sitt ståndpunktstagande i detta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725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