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735</w:t>
      </w:r>
    </w:p>
    <w:p>
      <w:r>
        <w:rPr>
          <w:b/>
        </w:rPr>
        <w:t xml:space="preserve">Datum: </w:t>
      </w:r>
      <w:r>
        <w:t>1934-03-13</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Herr talman! Jag nödgas, fastän tiden är långt framskriden, säga några få ord angående utskottets utlåtande i denna punkt.</w:t>
        <w:br/>
        <w:br/>
        <w:t xml:space="preserve">Jag har tillåtit mig att väcka en motion om en mindre pension till föreståndarinnan för lapska ålderdomshemmet i Jokkmokk. </w:t>
      </w:r>
      <w:r>
        <w:rPr>
          <w:b/>
        </w:rPr>
        <w:t>Hon²</w:t>
      </w:r>
      <w:r>
        <w:rPr>
          <w:b w:val="0"/>
        </w:rPr>
        <w:t xml:space="preserve"> har tjänstgjort i 23 år såsom vårdarinna av gamla sjuka och fattiga lappar.</w:t>
        <w:br/>
        <w:br/>
        <w:t>Man vet ju, att den nomadiserande lappallmogen intar en helt annan ställning i samhället än andra medborgare. Den omhuldas ju av staten på ett helt annat sätt än övriga svenska medborgare, och lapparnas fattigvård, som tidigare har bestritts helt och hållet av staten, bestrides även nu till den väsentligaste delen av statsmedel.</w:t>
        <w:br/>
        <w:br/>
        <w:t>Under den tid, då fattigvården bland lapparna ännu inte var ordnad utan endast sköttes genom anslag från staten, fick jag ofta tillfälle att se, hur vanvårdade dessa gamla fattiga lappar blevo. Det gjorde mig ont om dem. Jag var i tillfälle att under mina resor i lappmarkerna se, hur de vantrivdes i nybyggarhemmen och hur de vansköttes. Då beslöt jag mig för att söka bilda ett par lapska ålderdomshem. Det ena anlades i Jokkmokk och det andra i Arjeploug, och dessa hade jag kvar, ända tills staten och kommunen övertogo och ordnade den lapska fattigvården.</w:t>
        <w:br/>
        <w:br/>
        <w:t xml:space="preserve">I hemmet i Jokkmokk, där 10 å 12 gamla lappar underhöllos med frivilliga medel, var </w:t>
      </w:r>
      <w:r>
        <w:rPr>
          <w:b/>
        </w:rPr>
        <w:t>fröken²</w:t>
      </w:r>
      <w:r>
        <w:rPr>
          <w:b w:val="0"/>
        </w:rPr>
        <w:t xml:space="preserve"> Ullenius föreståndarinna från första början. </w:t>
      </w:r>
      <w:r>
        <w:rPr>
          <w:b/>
        </w:rPr>
        <w:t>Hon²</w:t>
      </w:r>
      <w:r>
        <w:rPr>
          <w:b w:val="0"/>
        </w:rPr>
        <w:t xml:space="preserve"> är fortfarande föreståndarinna där, men börjar nu bli gammal och utsliten och har inte någon möjlighet till existens på gamla dagar. Jag hade tänkt, att riksdagen i ett sådant fall, när det inte gäller någon vanlig fattigvårdsinrättning utan en lapsk inrättning, för vilken staten i alla fall har den väsentligaste underhållsskyldigheten, skulle kunna behjärta en sådan människas trogna gärning och ge ett litet ålderdomsunderstöd åt </w:t>
      </w:r>
      <w:r>
        <w:rPr>
          <w:b/>
        </w:rPr>
        <w:t>henne²</w:t>
      </w:r>
      <w:r>
        <w:rPr>
          <w:b w:val="0"/>
        </w:rPr>
        <w:t>.</w:t>
        <w:br/>
        <w:br/>
        <w:t>Jag förstår ju, att efter den behandling, som motionen har fått, och med det betraktelsesätt, som utskottet anlagt i denna sak, det inte är lönt att göra något yrkande, men jag vill i alla fall för att rädda min själ yrka bifall till min motion.</w:t>
      </w:r>
    </w:p>
    <w:p>
      <w:pPr>
        <w:pStyle w:val="Heading2"/>
      </w:pPr>
      <w:r>
        <w:t>2. Emanuel Bjurström (–, man)</w:t>
      </w:r>
    </w:p>
    <w:p>
      <w:r>
        <w:rPr>
          <w:b w:val="0"/>
        </w:rPr>
        <w:t xml:space="preserve">Herr talman! Då denna fråga var föremål för utskottets behandling och man genom den kungl. propositionen och i ämnet väckta motioner tog del av de arbetsuppgifter, som den till pension föreslagna konsulent Walin haft sig ålagda och vad </w:t>
      </w:r>
      <w:r>
        <w:rPr>
          <w:b/>
        </w:rPr>
        <w:t>hon²</w:t>
      </w:r>
      <w:r>
        <w:rPr>
          <w:b w:val="0"/>
        </w:rPr>
        <w:t xml:space="preserve"> under ett mera än 43-årigt arbete i statens tjänst presterat till förmån för den gren av praktisk folkuppfostran det nu gäller, kunde åtminstone icke jag komma till någon annan åsikt än att ett sådant livsarbete borde ges ett högt betyg och att man borde även i handling giva uttryck för sin uppskattning därav. Jag anser därför, att riksdagen borde belöna detta arbete på ett mer frikostigt sätt än genom att giva det minsta möjliga man kan slippa undan med. Vid flera tillfällen har riksdagen också uttalat sig varmt om det praktiska arbetet inom undervisningsväsendet. Är 1918 uttalade riksdagen som sin mening, att befattningen som konsulent och särskild föredragande för ärenden angående husligt arbete borde varit en ordinarie tjänst i skolöverstyrelsen, varav också hade följt, att tjänstens innehavare varit tillförsäkrad en icke oväsentligt högre pension än det belopp, som nu föreslagits och av utskottet tillstyrkts. Mig tycks, att så borde ha skett med tanke på den stora vikt och betydelse, som det krävande och banbrytande arbete måste anses äga, vilket ålegat tjänstens innehavare vid utformandet av denna undervisningsgren. Jag tror, att alla kunna vara överens om att undervisningen i det praktiska och husliga arbetet omfattas med ett stort intresse och högt värdesättes av alla föräldrar och målsmän i hela landet.</w:t>
        <w:br/>
        <w:br/>
        <w:t>Sedan motionärerna andragit, vad skolöverstyrelsen anfört i saken, yttra de vidare: »Det torde sakna motstycke, att en person under mer än 40 år varit utan avbrott anställd i statens tjänst på en post av banbrytande och i hög grad maktpåliggande karaktär utan att hava uppnått en däremot svarande ordinarie ställning. Under sådant förhållande torde det knappast kunna sägas, att ett frångående i viss mån av eljest tillämpade grunder vid utmätandet av pensionsbeloppet skulle behöva medföra några konsekvenser av prejudicerande natur.</w:t>
        <w:br/>
        <w:br/>
        <w:t>Däremot synes det oss vara att orättvist löna en ur det allmännas synpunkt förtjänstfull verksamhet i statens tjänst att icke endast, som här skett, neka vederbörande den ordinarie anställning, som enligt samstämmig åsikt inom regering och riksdag vid den tidpunkt, då befattningen i fråga upprättades, egentligen borde tillkommit innehavaren av densamma — och därmed även rätt till ålderstillägg samt möjlighet såväl som skyldighet att erlägga pensionsavgifter — utan därjämte att, vid pensionsbeloppets utmätande, till grund för detta lägga lägsta möjliga, efter mest ogynnsamma grunder uträknade belopp.»</w:t>
        <w:br/>
        <w:br/>
        <w:t>En sådan motivering borde, tycker jag, ha förmått utskottet att gå med på ett något högre belopp än det, som föreslås i propositionen. Jag och tvenne andra ledamöter i utskottet ha i sakens nuvarande läge varken velat hålla på skolöverstyrelsens eller motionärernas förslag, utan vi ha tagit fasta på de synpunkter, som statskontoret anfört i sitt yttrande, där man anser, att pensionen kunde bestämmas till 4,800 kronor. Detta belopp återfinnes också i den reservation, som jag har fogat till utskottets betänkande och till vilken jag, herr talman, ber att få yrka bifall.</w:t>
      </w:r>
    </w:p>
    <w:p>
      <w:pPr>
        <w:pStyle w:val="Heading2"/>
      </w:pPr>
      <w:r>
        <w:t>3. Harald Åkerberg (Socialdemokraterna, man)</w:t>
      </w:r>
    </w:p>
    <w:p>
      <w:r>
        <w:rPr>
          <w:b w:val="0"/>
        </w:rPr>
        <w:t xml:space="preserve">Ja, herr talman, den pension, som i propositionen är föreslagen åt </w:t>
      </w:r>
      <w:r>
        <w:rPr>
          <w:b/>
        </w:rPr>
        <w:t>fröken²</w:t>
      </w:r>
      <w:r>
        <w:rPr>
          <w:b w:val="0"/>
        </w:rPr>
        <w:t xml:space="preserve"> Ingeborg Maria Walin, är ju 4,140 kronor. Det är ett belopp, som enligt de vanliga metoderna har uträknats såsom pension för </w:t>
      </w:r>
      <w:r>
        <w:rPr>
          <w:b/>
        </w:rPr>
        <w:t>fröken²</w:t>
      </w:r>
      <w:r>
        <w:rPr>
          <w:b w:val="0"/>
        </w:rPr>
        <w:t xml:space="preserve"> Walin. Man har utgått ifrån det arvode, som </w:t>
      </w:r>
      <w:r>
        <w:rPr>
          <w:b/>
        </w:rPr>
        <w:t>hon²</w:t>
      </w:r>
      <w:r>
        <w:rPr>
          <w:b w:val="0"/>
        </w:rPr>
        <w:t xml:space="preserve"> för närvarande har uppburit, nämligen 6,900 kronor. Detta belopp har ju sedan multiplicerats med ?/,. Det blir 4,600 kronor. Med hänsyn till att </w:t>
      </w:r>
      <w:r>
        <w:rPr>
          <w:b/>
        </w:rPr>
        <w:t>fröken²</w:t>
      </w:r>
      <w:r>
        <w:rPr>
          <w:b w:val="0"/>
        </w:rPr>
        <w:t xml:space="preserve"> Walin icke betalat några pensionsavgifter, har detta belopp sedan reducerats med 10 2 till 4,140 kronor. Kungl. Maj:t har för sin del icke ansett sig kunna gå längre, och utskottet har ansett sig sakna anledning att sträcka sig utöver detta.</w:t>
        <w:br/>
        <w:br/>
        <w:t xml:space="preserve">Till stöd för en ytterligare höjning har ju åberopats en uppgift, att när </w:t>
      </w:r>
      <w:r>
        <w:rPr>
          <w:b/>
        </w:rPr>
        <w:t>fröken²</w:t>
      </w:r>
      <w:r>
        <w:rPr>
          <w:b w:val="0"/>
        </w:rPr>
        <w:t xml:space="preserve"> Walin slutade sin förra tjänst och antog statstjänst, skulle </w:t>
      </w:r>
      <w:r>
        <w:rPr>
          <w:b/>
        </w:rPr>
        <w:t>hon²</w:t>
      </w:r>
      <w:r>
        <w:rPr>
          <w:b w:val="0"/>
        </w:rPr>
        <w:t xml:space="preserve"> ha blivit lovad att erhålla tjänsteställning inom skolöverstyrelsen såsom undervisningsråd; men vilken myndighet eller vilken person i officiell ställning, som skulle hava givit detta löfte, har man inte kunnat få något bestämt besked om. Det finns i ett skolöverstyrelsens utlåtande en passus som säger, att i samband med konsulentbefattningens inrättande ifrågasattes inrättandet av en befattning såsom ledamot av överstyrelsen. Men att något bestämt löfte, för vilket regeringen skulle ha skyldighet att träda i bräschen, skulle hava givits, innebär ju detta inte något konstaterande av. 1919 väcktes här i riksdagen av herr Jakob Pettersson i Södertälje en motion om att fast anställning i skolöverstyrelsen skulle beredas innehavaren av denna tjänst, men denna motion blev av riksdagen avslagen.</w:t>
        <w:br/>
        <w:br/>
        <w:t>Jag tror, herr talman, att det inte finnes någon anledning för riksdagen att i detta avseende sträcka sig längre än Kungl. Maj:t har gjort. Jag ber därför att få yrka bifall till utskottets förslag. i</w:t>
      </w:r>
    </w:p>
    <w:p>
      <w:pPr>
        <w:pStyle w:val="Heading2"/>
      </w:pPr>
      <w:r>
        <w:t>4. Fredrik Ström (Sveriges kommunistiska parti, man)</w:t>
      </w:r>
    </w:p>
    <w:p>
      <w:r>
        <w:rPr>
          <w:b w:val="0"/>
        </w:rPr>
        <w:t>Herr talman! Jag har väckt denna motion på två grunder. Den ena är, att jag har funnit, att två statliga institutioner, som sannerligen eljest aldrig bruka gå in för några särskilt höga belopp, när det gäller pensioner, nämligen skolöverstyrelsen och statskontoret, i detta fall ha förordat högre belopp, än vad Kungl. Maj:t har föreslagit riksdagen. Vidare känner jag efter en mer än 20-årig kommunal bana mycket väl till den utomordentliga skicklighet, varmed denna tjänsteman skött sitt uppdrag. Under sådana förhållanden har jag för min del icke kunnat finna, att det varit rimligt att utmäta den lägsta tänkbara pension, som överhuvud varit möjlig, med pressande av alla tillgängliga paragrafer och prejudikat. Det synes mig, som om det är en orättvisa, som riksdagen här står 1 beråd att begå och jag har för min del inte kunnat vara med om någonting sådant.</w:t>
        <w:br/>
        <w:br/>
        <w:t>Herr talman! Tiden är långt liden, och jag vill inte upptaga kammarens tid ytterligare, utan ber att helt kort få yrka bifall till den föreliggande reservationen.</w:t>
      </w:r>
    </w:p>
    <w:p>
      <w:pPr>
        <w:pStyle w:val="Heading2"/>
      </w:pPr>
      <w:r>
        <w:t>5. Ivan Pauli (Socialdemokraterna, man)</w:t>
      </w:r>
    </w:p>
    <w:p>
      <w:r>
        <w:rPr>
          <w:b w:val="0"/>
        </w:rPr>
        <w:t xml:space="preserve">Jag skall i korthet bara be att få säga, herr talman, att även om regeringens och utskottets förslag ur rent formella synpunkter är alldeles oantastbart, så anser jag dock, med hänsyn till den långa och förtjänstfulla insats, som Ingeborg Walin gjort på det mycket viktiga arbetsområde, där </w:t>
      </w:r>
      <w:r>
        <w:rPr>
          <w:b/>
        </w:rPr>
        <w:t>hon²</w:t>
      </w:r>
      <w:r>
        <w:rPr>
          <w:b w:val="0"/>
        </w:rPr>
        <w:t xml:space="preserve"> verkat och där </w:t>
      </w:r>
      <w:r>
        <w:rPr>
          <w:b/>
        </w:rPr>
        <w:t>hon²</w:t>
      </w:r>
      <w:r>
        <w:rPr>
          <w:b w:val="0"/>
        </w:rPr>
        <w:t xml:space="preserve"> nog kan anses ha utfört en banbrytande gärning, att det inte vore obilligt, om kammaren ginge så långt, som statskontoret föreslagit. Detta ämbetsverk är inte precis känt för att vara till överdåd frikostigt med pengar. Man kan således även ur statsfinansiell synpunkt känna sig på den säkra sidan, om man går så långt, som reservanten i enlighet med statskontorets yttrande har föreslagit.</w:t>
        <w:br/>
        <w:br/>
        <w:t>Jag yrkar bifall till reservationen.</w:t>
        <w:br/>
        <w:br/>
        <w:t>Efter härmed slutad överläggning gjorde herr förste vice talmannen i enlighet med de yrkanden, som därunder framkommit, propositioner, först på bifall till vad utskottet i den under behandling varande punkten hemställt samt vidare på antagande av det förslag, som innefattades i den vid punkten avgivna reservationen; och förklarade herr förste vice talmannen, sedan han upprepat propositionen på bifall till utskottets hemställan, sig anse denna proposition vara med övervägande ja besvarad.</w:t>
        <w:br/>
        <w:br/>
        <w:t>Då tiden nu var långt framskriden, beslöts på framställning av herr förste vice talmannen, att behandlingen av det återstående ärendet på föredragningslistan skulle uppskjutas till ett annat sammanträde.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