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2047</w:t>
      </w:r>
    </w:p>
    <w:p>
      <w:r>
        <w:rPr>
          <w:b/>
        </w:rPr>
        <w:t xml:space="preserve">Datum: </w:t>
      </w:r>
      <w:r>
        <w:t>1936-02-04</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Hilding Hagberg (Vänsterpartiet, man)</w:t>
      </w:r>
    </w:p>
    <w:p>
      <w:r>
        <w:rPr>
          <w:b w:val="0"/>
        </w:rPr>
        <w:t xml:space="preserve">Herr talman! Efter denna förklaring av statsutskottets ordförande torde det vara klart — så fattade jag åtminstone honom — att regeringen har fullmakt att ingripa till hjälp åt den tredje man, som det här gäller, nämligen de stridandes </w:t>
      </w:r>
      <w:r>
        <w:rPr>
          <w:b/>
        </w:rPr>
        <w:t>hustrur²</w:t>
      </w:r>
      <w:r>
        <w:rPr>
          <w:b w:val="0"/>
        </w:rPr>
        <w:t xml:space="preserve"> och barn.</w:t>
      </w:r>
    </w:p>
    <w:p>
      <w:pPr>
        <w:pStyle w:val="Heading2"/>
      </w:pPr>
      <w:r>
        <w:t>2. Algot Törnkvist (Socialdemokraterna, man)</w:t>
      </w:r>
    </w:p>
    <w:p>
      <w:r>
        <w:rPr>
          <w:b w:val="0"/>
        </w:rPr>
        <w:t>Herr talman! Det är klart, att det kan uppstå stor tvekan, när det gäller att fatta ståndpunkt i det spörsmål, som herr Hagberg i Luleå här väckt och som berör den konflikt, som nu pågår i Mellansveriges skogar och som för övrigt ådragit sig så stor uppmärksamhet. Det gäller härvidlag en konflikt av alldeles säreget slag. Så vitt Jag vet, har en sådan förblindelse, som den ena parten här ådagalagt, aldrig tillförne visats — 1 varje fall inte i någon mera uppmärksammad omfattning.</w:t>
        <w:br/>
        <w:br/>
        <w:t xml:space="preserve">När jag läste denna motion, ställde jag mig frågan, om herrar Hagberg i Luleå och Brädefors med densamma verkligen gagnade arbetarnas intressen. Regeringen torde väl vara den myndighet, som i första hand bör göras uppmärksam på att ett nödläge inträtt. Det ligger, synes det mig, i sakens natur, att därest denna konflikt utvecklar sig på sådant sätt, att medan männen å ömse sidor slåss, </w:t>
      </w:r>
      <w:r>
        <w:rPr>
          <w:b/>
        </w:rPr>
        <w:t>hustrur²</w:t>
      </w:r>
      <w:r>
        <w:rPr>
          <w:b w:val="0"/>
        </w:rPr>
        <w:t xml:space="preserve"> och barn råka i sådant nödläge, att det kräver ett ingripande, konfliktens speciella karaktär med visshet torde påminna regeringen om nödvändigheten av ett ingripande. Detta är den väg, som förefaller mig vara den riktiga, och icke den, som motionärerna här har slagit in på. Motionärernas förslag innebär en sista hands utväg för det fall, att en regering skulle slå dövörat till i ett dylikt av mig nu skisserat nödläge. Ett avslag på den föreliggande motionen, herr talman, har därför i verkligheten den betydelse, som statsutskottets ärade ordförande redan påpekat.</w:t>
        <w:br/>
        <w:br/>
        <w:t>Jag vill för egen del inskränka mig till denna randanmärkning i fråga om min speciella syn på denna konflikts karaktär, och jag ber att med dessa ord få yrka bifall till utskottets hemställan.</w:t>
      </w:r>
    </w:p>
    <w:p>
      <w:pPr>
        <w:pStyle w:val="Heading2"/>
      </w:pPr>
      <w:r>
        <w:t>3. Karl Magnusson (Högerns riksdagsgrupp, man)</w:t>
      </w:r>
    </w:p>
    <w:p>
      <w:r>
        <w:rPr>
          <w:b w:val="0"/>
        </w:rPr>
        <w:t xml:space="preserve">Herr talman! Det torde kanske vara lämpligt, att det här till undvikande av missförstånd och misstolkningar sägs ifrån, att det näppeligen var den allmänna meningen i statsutskottet, att ett beslut i enlighet med utskottets förslag skulle få tolkas på det sätt, som herr Hagberg i Luleå giorde gällande. Jag tror, att om i den nu pågående konflikten verkligen skulle inträda ett nödläge för de stridandes </w:t>
      </w:r>
      <w:r>
        <w:rPr>
          <w:b/>
        </w:rPr>
        <w:t>hustrur²</w:t>
      </w:r>
      <w:r>
        <w:rPr>
          <w:b w:val="0"/>
        </w:rPr>
        <w:t xml:space="preserve"> och barn, denna nöd får avhjälpas på ett annat sätt än motionärerna föreslagit eller med andra ord med anlitande av redan förefintliga hjälpmöjligheter, om överhuvud taget statens neutralitet i arbetskonflikter skall kunna upprätthållas. Jag har velat säga detta till förebyggande av misstolkningar.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2047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