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2064</w:t>
      </w:r>
    </w:p>
    <w:p>
      <w:r>
        <w:rPr>
          <w:b/>
        </w:rPr>
        <w:t xml:space="preserve">Datum: </w:t>
      </w:r>
      <w:r>
        <w:t>1936-05-05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Schlyter (Socialdemokraterna, man)</w:t>
      </w:r>
    </w:p>
    <w:p>
      <w:r>
        <w:rPr>
          <w:b w:val="0"/>
        </w:rPr>
        <w:t>Herr talman! Konstitutionsutskottets första anmärkning gäller ett på min föredragning av Kungl. Maj:t fattat beslut om upptagande till svensk medborgare av en finsk undersåte.</w:t>
        <w:br/>
        <w:br/>
        <w:t>Jag medger gärna, att denna medborgarrättsfråga varit tveksam och svår att avgöra, ja, jag kan till och med förstå dem som anse att den icke varit tveksam alls. Det är mig så mycket lättare att lämna detta medgivande, som jag</w:t>
        <w:br/>
        <w:br/>
        <w:t>Men sökanden kom igen och envisades att han var oskyldig till det mord för vilket han dömts av den finska s. k. statsförbrytelsedomstolen på grund av sitt deltagande på den röda sidan i det finska inbördeskriget. Och jag, som visste att det t. o. m. i vårt eget land under djupaste fredstid, trots vårt grundliga, med alla tänkbara garantier för att en oskyldig åtalad icke skall bli fälld utrustade rättegångsförfarande, understundom kan inträffa att våra ordinarie domstolar döma en tilltalad till strängt straff, som sedan upphäves av hovrätt eller högsta domstolen — jag blev efter att ha hört hans framställning undrande, om det kunde vara riktigt att i förevarande sammanhang fästa avgörande vikt vid ett utslag av en utländsk extraordinär krigsdomstol, som efter ett summariskt förfarande hade att avverka massor av åtal mot personer vilka i inbördeskriget stått på den motsatta sidan. Följden blev att jag personligen kom att ägna detta ärende mera tid och arbete än något av de övriga 2.000 medborgarrättsärenden som ankommit på justitiedepartementets prövning under dessa fyra år. Jag är därför också i alldeles särskilt hög grad, oberoende av i ärendet avgivna skriftliga utlåtanden, ensam ansvarig för dess utgång.</w:t>
        <w:br/>
        <w:br/>
        <w:t>Med de utredningsresurser, som stå en departementschef till förfogande, kunde jag ganska snart konstatera att sökanden under sin 17-åriga vistelse här i landet gjort sig känd för en synnerligen hedrande vandel, och att den uppgift, som från något håll framkommit, att han vid en viss tidpunkt skulle varit en av dem, som omhänderhaft den kommunistiska propagandan i Sverige, var ovederhäftig. Detta senare förhållande framgår ju också av överståthållarämbetets i ärendet avgivna utlåtande därom, att sökanden icke, sedan han inkommit i Sverige, såvitt för ämbetet vore känt, låtit sig komma till last något förhållande som skulle utgöra hinder för bifall till ansökningen.</w:t>
        <w:br/>
        <w:br/>
        <w:t xml:space="preserve">Återstod frågan huruvida den omständigheten att sökanden sedan åtskillig tid tillbaka varit anställd såsom vaktmästare vid en utländsk makts handelsdelegation i Stockholm borde utgöra hinder för bifall till ansökningen. I detta avseende ansåg jag särskilt den synpunkt böra beaktas, huruvida tillhörighet till främmande nationalitet utgjorde en förutsättning för anställningen hos den främmande maktens organ. I dylikt fall anses nämligen den tid vederbörande haft anställning här i riket hos sitt eget lands representation icke böra inräknas i den tid han enligt medborgarrättslagen bör ha vistats i Sverige för att kunna erhålla svensk medborgarrätt. Nu förhöll det sig emellertid så, att dels sökanden haft anställning hos främmande makt av annan nationalitet än den han själv tillhörde, dels anställningen var av sådan art, att den lika gärna kunde innehafts av en svensk medborgare. Förhållandet var icke annorlunda än om en dansk medborgare, som under en mångårig vistelse här i landet gjort sig känd för en hederlig vandel, haft anställning på låt oss säga den tyska legationen eller det tyska generalkonsulatet såsom vaktmästare. Jag tror icke att någon justitieminister skulle ha tvekat att föreslå en dylik person till svensk medborgare, även om hans </w:t>
      </w:r>
      <w:r>
        <w:rPr>
          <w:b/>
        </w:rPr>
        <w:t>hustru²</w:t>
      </w:r>
      <w:r>
        <w:rPr>
          <w:b w:val="0"/>
        </w:rPr>
        <w:t xml:space="preserve"> varit hemeller kontorsbiträde hos det främmande organet.</w:t>
        <w:br/>
        <w:br/>
        <w:t>Och det är naturligtvis icke heller på denna anställning — vilken sökanden för övrigt numera icke lär innehava — som utskottsmajoriteten fäster det huvudsakliga avseendet. Utskottet trycker i stället särskilt på, att sökandens vandel innan han för 17 år sedan kom till Sverige varit sådan att den bort utgöra ett ovillkorligt hinder för bifall till hans ansökan om svenskt medborgarskap.</w:t>
        <w:br/>
        <w:br/>
        <w:t>Jag har redan antytt att jag icke kunnat låta den avkunnade utländska straffdomen vara avgörande för mitt bedömande av ärendet. Prövningen av den fråga jag sålunda haft att taga ställning till är uppenbarligen av alldeles för delikat art för att den skulle lämpa sig för diskussion i kammaren. Jag kommer icke heller att inlåta mig på skälen för och emot sökandens brottslighet eller på det närmare händelseförloppet vid tillfället i fråga för 18 år sedan, sådant jag uppfattat det. Sökandens version är att han vid tillfället tillhörde en trupp rödgardister, som på militärtåg transporterades från huvudstyrkan i trakten av Tammerfors söderut mot fronten. Ett antal vita fångar upptogs på tåget vid en mellanstation; några av dem nedskötos vid ett försök att fly från det i gång varande tåget, men sökanden, som befann sig i vagnen bakom den, i vilken fångarna transporterades, deltog icke i skottlossningen. Sedan sökandens hela trupp tillfångatagits av de vita och ställts till ansvar, hade bland andra sökanden dömts för mord efter vittnesmål av några av de vita fångarna som på fråga påstått sig igenkänna sökanden.</w:t>
        <w:br/>
        <w:br/>
        <w:t>Däremot kan utskottet uppenbarligen ställa sig på den ståndpunkten, att en utländsk extraordinär domstols utslag i ett brottmål ovillkorligen skall respekteras här i landet. Härutinnan har jag då endast att anmäla en avvikande mening.</w:t>
        <w:br/>
        <w:br/>
        <w:t>Likaså kan utskottet naturligtvis göra gällande, att överhuvud ett deltagande i det finska inbördeskriget på den röda sidan innebar en så ohederlig vandel, att den som gjort sig skyldig därtill faller under den indispensabla bestämmelsen i 5 $ medborgarskapslagen. På grund härav har sökanden ju också av den finska statsförbrytelsedomstolen dömts för högförräderi.</w:t>
        <w:br/>
        <w:br/>
        <w:t xml:space="preserve">För min del kan jag icke tillmäta sökandens deltagande i det finska medborgarkriget denna verkan. Med hänsyn till de omständigheter, under vilka sökanden inkom 1 landet, har det emellertid för mig stått alldeles klart att fråga om hans upptagande till svensk medborgare icke borde komma under prövning förrän han vistats här åtskilligt längre tid än den normala. Hur lång tid man sedan skulle fordra, kan vara föremål för delade meningar. Mina undersökningar före ärendets avgörande, när jag nu för andra gången hade att pröva ansökningen, hade givit mig den uppfattning att ett ytterligare uppskov skulle inneburit en oskälig hårdhet mot sökanden och hans </w:t>
      </w:r>
      <w:r>
        <w:rPr>
          <w:b/>
        </w:rPr>
        <w:t>hustru²</w:t>
      </w:r>
      <w:r>
        <w:rPr>
          <w:b w:val="0"/>
        </w:rPr>
        <w:t>, vilka på grund av en djupt tragisk nationell konflikt fått uppgiva sitt gamla fosterland och söka sig ett nytt hos ett närstående folk, där de nu hunnit leva sig in så, att de fullständigt försvenskats. Det var mig omöjligt att inse, att ett bifall till framställningen skulle strida mot svensk lag eller att något svenskt intresse därigenom skulle läderas.</w:t>
      </w:r>
    </w:p>
    <w:p>
      <w:pPr>
        <w:pStyle w:val="Heading2"/>
      </w:pPr>
      <w:r>
        <w:t>2. Anders Olsson (Folkpartiet, man)</w:t>
      </w:r>
    </w:p>
    <w:p>
      <w:r>
        <w:rPr>
          <w:b w:val="0"/>
        </w:rPr>
        <w:t>Herr talman! Jag uppskattar, att herr statsrådet och chefen för justitiedepartementet öppet medgav, att förevarande ärende varit tveksamt, att det varit svårt att avgöra och att han ensam bär ansvaret för det avgörande, som träffats. Såvitt jag förstår, är det dock icke möjligt att 1 detta ärende, om man vill objektivt pröva detsamma, bortse från den ifrågavarande mannens blodiga meritlista.</w:t>
        <w:br/>
        <w:br/>
        <w:t>I det yttrande, som i ärendet avgivits av överståthållarämbetet, anföres det bland annat, att sökanden i Finland av statsförbrytelsedomstolen 1918 dömts till dödsstraff och förlust av medborgerligt förtroende för alltid för att han i februari 1918 frivilligt anslutit sig till Helsingfors" röda garde och därefter beväpnad fullgjort vakttjänst och deltagit i strider mot den finska regeringens trupper ävensom för att han den 20 mars 1918 varit med om att tillsammans med andra män från samma garde transportera av de röda tillfångatagna elever från Mustiala jordbruksskola med tåg från Toijala station till Riihimäki</w:t>
        <w:br/>
        <w:br/>
        <w:t>När överståthållarämbetet på detta sätt å ena sidan anfört mannens blodiga meritlista från hans sista år i Finland och å andra sidan yttrat, att sedan han kom hit till Sverige, så hade han veterligt inte låtit sig komma till last något, som skulle utgöra hinder för hans upptagande till svensk medborgare, då är det naturligt, att man undersöker, om det för naturalisation räcker med en hederlig vandel här i riket eller om man även bör ta hänsyn till sökandes vandel, innan han kom hit. Den frågan var uppe, när vår nu gällande medborgarskapslag kom till 1924. När lagförslaget första gången framlades 1923, föreslogs i Kungl. Maj:ts proposition, att sökande skulle under sin vistelse här i landet ha fört en hederlig vandel. XKonstitutionsutskottet ansåg, att detta krav borde skärpas, så att uppmärksamhet jämväl bör fästas vid vederbörandes vandel, innan han inkommit i riket, detta i synnerhet, yttrade utskottet, om naturalisation förekommer efter kortare vistelse i riket än fem år. Konstitutionsutskottet föreslog därför i likhet med lagrådet den lydelse av lagens 8 5, som nu gäller. Det vill säga, att man underkände den formulering, som begränsade prövningen till den tid, under vilken sökande vistats här i landet.</w:t>
        <w:br/>
        <w:br/>
        <w:t>Konstitutionsutskottet fann goda skäl tala för att Kungl. Maj:t tillerkändes dispensrätt i fråga om sökandes ålder och viss tids hemvist här i riket, men utskottet fann föga tilltalande att medge möjlighet till undantag från de krav, som uppställas i avseende å hederlig vandel och försörjningsförmåga. I de fall, yttrade utskottet — och utskottets motivering 1923 åberopades uttryckligen, när lagen antogs 1924 — då en sökande brister i fullgörandet av de fordringar, som härutinnan av lagen uppställas, syntes det utskottet uppenbart, att medborgarskap ej borde beviljas honom.</w:t>
        <w:br/>
        <w:br/>
        <w:t>Det finnes ett naturalisationsärende från 1922, som är i viss mån belysande för vad som nu förekommit. Som bekant anmärkte konstitutionsutskottet 1922 på att en känd rysk undersåte upptagits till svensk medborgare. Mannen i fråga misstänktes för kommunistiska stämplingar, och han hade regelbunden sysselsättning hos det s. k. ryska konsulatet och ryska handelsdelegationen i Sverige. De socialdemokratiska ledamöterna av konstitutionsutskottet reserverade sig mot denna anmärkning, men man kan inte gärna läsa deras reservation på annat sätt än att de skulle ha biträtt anmärkningen, om det hade ådagalagts, att sökanden bedrivit propaganda — det skulle vara intressant att höra, om de fortfarande betvivla detta — eller att hans arbete för det ryska konsulatets och den tillfälligt här verksamma ryska handelsdelegationens räkning kunnat betraktas som fast tjänstemannaanställning. I det fall, som i år föranlett konstitutionsutskottets anmärkning, har det meddelats, att sö-</w:t>
        <w:br/>
        <w:br/>
        <w:t>Man borde ha kunnat vänta, att utskottets nu föredragna anmärkning skulle ha blivit enhällig. Utskottets memorial vittnar om att anmärkningen biträtts av en socialdemokrat och att en socialdemokratisk utskottsledamot, utskottets ärade vice ordförande, avstått från att deltaga i avgörandet. Övriga socialdemokratiska representanter i utskottet stå som reservanter. De medge, att den handling, för vilken nu ifrågavarande person blev dömd, synes vittna om en oerhörd råhet hos dem, som varit med om att utföra handlingen. Men reservanterna göra gällande, att uppgifterna i statsförbrytelsedomstolens protokoll måste tas med en viss reservation. Härom är att säga, att i de handlingar, som legat till grund för Kungl. Maj:ts prövning av detta ärende, har inte ens funnits ett bestridande av uppgifterna i domstolens protokoll, än mindre någon motbevisning, som kunnat minska tilliten till domstolsuppgifterna. Den part, som här har bevisningsskyldigheten, har inte gittat förebringa någon bevisning utan nöjer sig med välvilliga antaganden. Allra minst kunna sökandens, d. v. s. en parts muntliga försäkringar tillerkännas avgörande betydelse, så mycket mindre som det är klart, att sökandens relation av händelseförloppet vid den olyckliga tilldragelse, som vi tala om, icke är riktig.</w:t>
        <w:br/>
        <w:br/>
        <w:t>I reservationen säges, att hur grymma än de brott voro, som begingos under inbördeskriget i Finland, kan ingen vinna på att hämndkänslan hålles vid liv genom förföljelse mot de i inbördeskriget deltagande. Det är bra sagt, men när man i detta sammanhang talar om hämnd och förföljelse, låter det, som om ett avslag på en naturalisationsansökan under de betingelser, som här förelegat, skulle ha inneburit en rättskränkning. Det verkar, med förlov sagt, som ett litet försök att blanda bort korten, ty någon ovillkorlig rätt till naturalisation under de förhållanden, som här förelegat, existerar inte. Vidare må det sägas, att vill man plåna ut blodfläckarna från Finlands blodiga vinter 1918, så bör det ske inte blott åt ett håll. Det finns infödda svenska medborgare, som voro med i Finland 1918. Deras personligheter och gärningar må diskuteras — de anklagas i varje fall inte för dåd, som i råhet mäta sig med det, som förövades mot Mustialaeleverna mellan Toijala och Riihimäki den 20 mars 1918. Men än i denna dag klaga dessa svenskar över trakasserier och förföljelser på arbetsplatserna och i sin näringsutövning. Och när vi 1 denna orostid uppriktigt glädjas över det växande samförståndet med Finland, så kan tyvärr den, som lyssnar, österifrån höra röster, som säga: vi betacka oss för samförståndet med Sverige, så länge inte de svenska medborgare, som togo del i vår frihetskamp, behandlas som fullgoda svenskar i sitt eget land.</w:t>
        <w:br/>
        <w:br/>
        <w:t>Vad beträffar den amnesti, som man under senare år genomfört i Finland och som reservanterna erinra om, dock utan att sträcka sig så långt som en del tidningar, så har jag redligen försökt att få klarhet härom utan att detta till fullo lyckats. Det är inte omöjligt, kanske inte ens osannolikt, att sökandens dödsstraff förvandlats till livstids straffarbete, men för övrigt synes regeln ha varit den, att fångar, som rymt, inte erhållit amnesti. Saken har ingen avgörande betydelse.</w:t>
        <w:br/>
        <w:br/>
        <w:t>Jag vill till sist säga, att ingenting har varit konstitutionsutskottet mera</w:t>
        <w:br/>
        <w:br/>
        <w:t>Med hänsyn till den anda, som genomgick försvaret från statsrådsbänken, och de medgivanden, som därvid gjordes, inskränker jag mig emellertid, herr talman, till att yrka, att utskottets anmärkning lägges till handlingarna.</w:t>
      </w:r>
    </w:p>
    <w:p>
      <w:pPr>
        <w:pStyle w:val="Heading2"/>
      </w:pPr>
      <w:r>
        <w:t>3. Martin Andersson (Socialdemokraterna, man)</w:t>
      </w:r>
    </w:p>
    <w:p>
      <w:r>
        <w:rPr>
          <w:b w:val="0"/>
        </w:rPr>
        <w:t>Herr talman! Efter den ryska revolutionen år 1905 kom hit till Sverige en hel del ryska arbetare, som på ett eller annat sätt deltagit i denna revolution. Jag blev bekant med en av dessa unga arbetare, som sökte sitt skydd här i Sverige. Han hade själv inte varit med i revolutionen, men en av hans bröder hade på ett eller annat sätt varit inblandad i de organisationer, som stodo bakom revolutionen. Han lämnade mig en skildring av hur det gått till där borta år 1905, och av den skildringen fick man det bestämda intrycket, att om man överhuvud taget kan tala om en revolution i humanitetens tecken, så var 1905 års revolution en sådan. De revolutionära togo fångar men behandlade dem mycket väl. De offer, som blevo en följd av revolutionen, voro inte många, men när revolutionen var nedslagen, vad blev väl tacken för denna humanitet? Jo, denne man skildrade, hurusom hans bröder, av vilka på sin höjd en på något sätt varit inblandad i revolutionen, jämte många andra, som misstänktes för att ha på något sätt varit med i stämplingarna mot riket, blevo arresterade och utan någon närmare rannsakning uppställda mot en vall och nedskjutna. När denne man skildrade dessa händelser för mig, knöt han nävarna i raseri och sade: »Nästa gång dräpa vi dem allihop.» Det var hans syn på saken. Man gjorde så också i Ryssland vid den efterkommande revolutionen och lyckades.</w:t>
        <w:br/>
        <w:br/>
        <w:t>Man får se förhållandena i Finland år 1918 mot denna bakgrund. TI Finland hade man större möjlighet än hos oss att följa utvecklingen i Ryssland såväl 1905 som 1917, och man kan möjligen, om man ser utvecklingen mot denna bakgrund, lättare förstå de barbariska handlingar, som otvivelaktigt från båda sidor begingos i Finland under inbördeskriget. Givetvis vill jag på intet sätt försvara de blodsdåd, som under inbördeskriget blevo begångna, långt därifrån, men jag har dock sökt finna en förklaring till, att människor kunna begå sådana handlingar, då djuret i människan träder fram på ett sätt som då skedde. Jag vill dock framhålla, att det var inte allenast den ena av parterna i detta inbördeskrig som begick dessa handlingar, vilka icke nu, när man ser dem i historisk belysning, kunna försvaras, även på andra sidan begingos liknande handlingar. Skillnaden var bara den, att den segrande parten kallade dessa handlingar för straff, verkställda efter avkunnade domslut. Hade de röda i Finland segrat, hade de saker, som nu kallas för mord, icke kallats så, utan för åtgärder till skydd för revolutionen och för att straffa dem, som av de segrande betecknats såsom förrädare. Det är ju så i varje revolution, att den segrande parten aldrig dömer de handlingar, som av dess anhängare begås, såsom brott utan ofta såsom högst berömvärda handlingar.</w:t>
        <w:br/>
        <w:br/>
        <w:t>Utskottets talesman här gör nu gällande, att denne finne, om vilken är fråga, skulle ha gjort sig skyldig till de mord, varom i memorialet talas. Själv bestrider han detta. Han erkänner, att han deltagit i inbördeskriget på de rödas sida, men de övriga av de handlingar, för vilka han dömts, bestrider han, att</w:t>
        <w:br/>
        <w:br/>
        <w:t>Vad som har förekommit, sedan ifrågavarande person bosatt sig i Sverige, och de upplysningar rörande hans vandel, som här förekommit, och i övrigt de upplysningar, som lämnats om mannens hela karaktär, ge dock en viss sannolikhet för riktigheten av hans uppgifter, att han inte begått de handlingar, för vilka han anklagats. Jag kan givetvis inte här bestrida vare sig dessa uppgifter från hans sida eller de uppgifter, som återfinnas i statsförbrytaredomstolens handlingar. Vad som verkligen har inträffat torde vara höljt i dunkel och lär väl aldrig med full klarhet kunna utredas. Men nog måste det ändå vara så — det torde var och en få lov att erkänna — att man måste ställa sig reserverad inför de utredningar, som utföras av en revolutionsdomstol, där, som herr statsrådet framhöll, behandlingen av dessa förbrytare sker synnerligen summariskt.</w:t>
        <w:br/>
        <w:br/>
        <w:t>Herr Olsson i Mora upprepade vad som återfinnes i handlingarna, nämligen att sökanden ifråga här i Sverige skulle ha gjort sig skyldig till kommunistisk propaganda, ja, som det heter, lett den kommunistiska propagandan här i Sverige. Jag blev verkligen förvånad, då jag hörde den ärade talaren upprepa detta påstående, utslungat av en f. d. sovjettjänsteman vid legationen. Var och en, som det minsta tänker på den saken, måste ju säga sig, att det skulle vara fullkomligt orimligt, att denne man skulle ha lett den kommunistiska propagandan här i Sverige utan att detta kommit till polisens kännedom. Att så inte är fallet, framgår ju dock av överståthållarämbetets yttrande, däri det säges, att överståthållarämbetet icke funnit, att sökanden här i Sverige gjort sig skyldig till sådana handlingar, som kunde utgöra hinder för hans upptagande till svensk medborgare. Jag hoppas, att den ankan därmed bör kunna avfärdas ur diskussionen, ty den är ändå alltför löjlig.</w:t>
        <w:br/>
        <w:br/>
        <w:t>Jag vill inte ytterligare gå in på frågan, huruvida mannens anställning som vaktmästare vid den ryska legationen borde ha utgjort hinder för hans upptagande som svensk medborgare. Den saken tycker jag, att statsrådet så klart och sakligt belyst så att jag icke behöver närmare syssla därmed.</w:t>
        <w:br/>
        <w:br/>
        <w:t>Herr Olsson i Mora frambhöll, att en vägran att upptaga denne man till svensk medborgare inte på något sätt kunde betraktas som förföljelse eller hämnd. Det är riktigt, men mannen ifråga torde dock inte kunna undgå att känna detta som en förföljelse, då han vet, att andra främmande medborgare efter oförvitlig vistelse i Sverige under betydligt kortare tid än den han vistats här bli upptagna till svenska medborgare. Det är ju också så, att man i detta fall redan dröjt längre än som annars brukar vara vanligt för upptagande till svensk medborgare.</w:t>
        <w:br/>
        <w:br/>
        <w:t>Jag har, herr talman, intet annat yrkande än det, som herr Olsson i Mora framställt, nämligen att anmärkningen lägges till handlingarna. Jag ställer detta yrkande därför, att man även i andra kammaren numera alltmera gått över till den praxis, som alltid tillämpas i första kammaren, nämligen att inte göra något särskilt uttalande beträffande konstitutionsutskottets anmärkningar. Jag tror också, att det är det konstitutionellt riktiga.</w:t>
        <w:br/>
        <w:br/>
        <w:t>Herr talman, jag har sålunda intet annat yrkande än att punkten lägges till handlingarna.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