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2097</w:t>
      </w:r>
    </w:p>
    <w:p>
      <w:r>
        <w:rPr>
          <w:b/>
        </w:rPr>
        <w:t xml:space="preserve">Datum: </w:t>
      </w:r>
      <w:r>
        <w:t>1937-04-13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Albin Hansson (Socialdemokraterna, man)</w:t>
      </w:r>
    </w:p>
    <w:p>
      <w:r>
        <w:rPr>
          <w:b w:val="0"/>
        </w:rPr>
        <w:t xml:space="preserve">Herr talman! Gäller detta även i fallet under punkt b. om den svenskfödda </w:t>
      </w:r>
      <w:r>
        <w:rPr>
          <w:b/>
        </w:rPr>
        <w:t>kvinnan¹</w:t>
      </w:r>
      <w:r>
        <w:rPr>
          <w:b w:val="0"/>
        </w:rPr>
        <w:t>?</w:t>
      </w:r>
    </w:p>
    <w:p>
      <w:pPr>
        <w:pStyle w:val="Heading2"/>
      </w:pPr>
      <w:r>
        <w:t>2. Karl Kilbom (Sveriges kommunistiska parti, man)</w:t>
      </w:r>
    </w:p>
    <w:p>
      <w:r>
        <w:rPr>
          <w:b w:val="0"/>
        </w:rPr>
        <w:t>Herr talman! Efter att ha gått igenom dessa handlingar har den grupp, jag tillhör, fått den uppfattningen, att anmärkningarna äro obefogade. Jag har blivit styrkt i denna uppfattning, sedan jag hört representanterna för utskottsmajoriteten, ty de ha icke på någon enda punkt kunnat anföra något argument till stöd för anmärkningarna. Jag lyssnade mycket noga både till herr Fasts, herr Halléns och herr Lundqvists anföranden och jag kunde verkligen inte upptäcka ens något allvarligt försök, utom på en punkt i herr</w:t>
        <w:br/>
        <w:br/>
        <w:t>Det är speciellt en sak, som upprört mig, och det är, såsom herr Fast påpekat, att man åberopar en människas nedkallande till polisförhör som anledning till att inte medborgarskap skulle beviljas. Jag vill inte framställa någon impertinent fråga, men kunde det inte tänkas, herr Lundqvist, att ni kommer i någon situation, att polisen i ett eller annat avseende anser det nödvändigt att höra er, kanske till och med att polisen anser uppgifter, som lämnats till den, motivera en svag misstanke om skuld som grund för detta hörande? Är det någon rim och reson i att riksdagens konstitutionsutskott både skriftligen och här i kammaren säger, att detta är grund till att en människa skall straffas, ty ett straff är det ju att inte få svenskt medborgarskap, då herrarna påstå, att det är så stora fördelar att erhålla detsamma. Det är ju något fullständigt horribelt — och den, som har min politiska uppfattning måste vara synnerligen lyhörd på ett sådant här område — då det härtill upplyses från utskottets förhandlingar, att grunden till misstanken är av ren angivarekaraktär. Herr Bergqvist har lämnat den upplysningen, och då detta lagts till grund för utskottets anmärkning, blir man ju som sagt ännu mer förvånad. Om jag emellertid efter att ha läst utskottets handlingar möjligen hade kommit till den uppfattningen, att anmärkning var motiverad, så har jag verkligen efter debatten fått en helt annan uppfattning.</w:t>
        <w:br/>
        <w:br/>
        <w:t>Jag tycker också, att herr Lundqvist är mycket oförsiktig på en punkt. Han sade ordagrant, såvitt jag antecknade, följande: Då vi ha en kompakt majoritet, som stöder regeringen, är det inte så märkvärdigt att det blir så få anmärkningar. Då man utslungar en sådan beskyllning — ty det är det ju — mot andra, så ligger det nära till hands för den, som hör beskyllningen, att fråga sig: Det är alltså herrarnas metoder, då det gäller att taga ståndpunkt till sådana här frågor!</w:t>
        <w:br/>
        <w:br/>
        <w:t>Herr talman! Det finns inga sakliga skäl till anmärkning i vad som publicerats och vad som här upplysts. Det behövs sannerligen inte några starka restriktioner mot beviljande av medborgarskap i dessa tider. Jag tror tvärt om det är anledning att i stället för att gå utskottets väg höja mänsklighetens stämma, då man över allt i Europa söker spärra gränserna och kasta allt flera människor ut i ett tillstånd av statslöshet, förföljelse och fullkomligt omänsklig behandling. Här vore om något motiverat att lägga anmärkningen med ogillande till handlingarna.</w:t>
      </w:r>
    </w:p>
    <w:p>
      <w:pPr>
        <w:pStyle w:val="Heading2"/>
      </w:pPr>
      <w:r>
        <w:t>3. Erik Fast (Socialdemokraterna, man)</w:t>
      </w:r>
    </w:p>
    <w:p>
      <w:r>
        <w:rPr>
          <w:b w:val="0"/>
        </w:rPr>
        <w:t>Herr talman! Jag begärde ordet under herr Lundqvists anförande och då speciellt på grund av ett av hans yttranden. Det betyg, som han ger, och de politiska spekulationer, som han har i samband med dechargememorialet, hoppar jag alldeles över. Det skall jag diskutera med herr Lundqvist, då han varit med om lika många anmärkningar mot högerregeringar som jag varit med om mot både socialdemokratiska statsministrar, utrikesministrar och andra statsråd. Då tror jag vi få litet bättre bakgrund till den synpunkten.</w:t>
        <w:br/>
        <w:br/>
        <w:t>Sedan säger herr Lundqvist, att det är ju inte fråga om att här utmäta något straff utan att erhålla en förmån, och därför får man bedöma polisrapporter och sådant efter andra grunder och på annat sätt än vad man annars skulle göra. Men, herr Lundqvist, i samma ögonblick som man åberopar detta såsom ett skäl för att vederbörande icke fått medborgarskap, som han under andra betingelser skulle fått, måste jag säga, att då måste jag hålla mig till endast styrkta och bevisade ting, ty i annat fall skulle jag göra mig skyldig till grövsta orättfärdighet mot vederbörande, och det är det, som här skett. Det enda,</w:t>
        <w:br/>
        <w:br/>
        <w:t xml:space="preserve">Så säger herr Lundqvist, att ingen människa har ifrågasatt, att inte vederbörande fortfarande skulle få uppehållstillstånd och rätt att arbeta i detta land o. s. v. Det är mycket älskvärt, att man åtminstone inte vill gå längre. Det har nog funnits tider, då man velat det. Men om man inte avser något sådant, vad finns det då för skäl att vägra en man svenskt medborgarskap, då hans svenskfödda </w:t>
      </w:r>
      <w:r>
        <w:rPr>
          <w:b/>
        </w:rPr>
        <w:t>hustru²</w:t>
      </w:r>
      <w:r>
        <w:rPr>
          <w:b w:val="0"/>
        </w:rPr>
        <w:t xml:space="preserve"> och båda svenskfödda barn ha svenskt medborgarskap? Det tycker jag är tillräckligt på den punkten. Jag hade i varje fall trott, att man inte var angelägen att skapa sådana förhållanden inom familjelivet att man handlade på det sättet.</w:t>
        <w:br/>
        <w:br/>
        <w:t>Sedan har jag endast ett ord att tillägga, herr talman, och det är, när herr Lundqvist drar in reservationen rörande den finske studeranden. Jag har här tidigare sagt, att Kungl. Maj:t har följt de principer, som tillämpats — såvitt jag känner till — i ungefär 20 år, och de ha också tillämpats rörande den finske studeranden. Ty när blev det kutym i detta land att man erhåller medborgarskap bara därför att man uppehåller sig i landet och studerar utan att man ännu på något sätt inträtt i det praktiska livet och skaffat sig underlag för sin försörjning? Till detta kommer att medborgarlagen föreskriver en vistelse i i landet av 5 år. Den finske studeranden hade endast vistats här i 4 år. Jag vill gärna medge, att Kungl. Maj:t har dispensrätt härvidlag, men tillräckliga skäl förelågo icke att bryta mot den princip, som tidigare i många år tillämpats i detta land.</w:t>
        <w:br/>
        <w:br/>
        <w:t>Härmed tror jag mig ha besvarat herr Lundqvists fråga rörande finnen.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2097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