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2100</w:t>
      </w:r>
    </w:p>
    <w:p>
      <w:r>
        <w:rPr>
          <w:b/>
        </w:rPr>
        <w:t xml:space="preserve">Datum: </w:t>
      </w:r>
      <w:r>
        <w:t>1937-04-13</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Gustav Möller (Socialdemokraterna, man)</w:t>
      </w:r>
    </w:p>
    <w:p>
      <w:r>
        <w:rPr>
          <w:b w:val="0"/>
        </w:rPr>
        <w:t>Herr talman! Jag vill inte underlåta att ge en omedelbar replik i anledning av vissa av herr Carlströms gamla sanningar. Det var mycket intressant att höra honom. Han delar alldeles uppenbart den uppfattning, som den svenska högern och i varje fall delvis det frisinnade partiet givit uttryck åt, nämligen att vi äro ekonomiskt så ställda, att även om vi, låt mig säga under de närmaste tre åren, skulle orka med de utgifter, som här föreslås, det är mycket ovisst, om det skall gå 1 framtiden.</w:t>
        <w:br/>
        <w:br/>
        <w:t>Mina damer och herrar! Vad betyder ett sådant uttalande? Jo, det betyder helt enkelt, att man på detta borgerliga håll — jag kan inte tro, att herr Carlström talar för hela sitt parti — anser det alldeles uteslutet, att vi i Sverige 1 framtiden skola kunna försörja våra orkeslösa, utslitna människor på ett något bättre sätt än som för närvarande sker, d. v. s. i regel genom fattigvården. Det betyder, att han tvivlar på, att det svenska samhället ekonomiskt har den styrkan, att vi kunna sörja för de fattiga. Det var rätt intressant att höra hans motivering för provisoriet. Såvitt jag förstår, måste den motiveringen nämligen betyda, att man om tre år skulle upptaga till förnyad prövning, om man överhuvud taget skall kunna differentiera folkpensionerna, eller om man skall avskaffa den dyrortsgruppering, som första kammaren nu för sin del utan votering anslutit sig till. Han sade nämligen, att just med hänsyn till det osäkra ekonomiska läget borde man införa det provisorium, som blivit huvudpunkten för det frisinnade partiet i denna fråga. Jag konstaterar det därför, att herr Carlström är inte en riksdagsman vem som helst. Han är sekreterare i folkpartiet i vårt land, och det måste vara signifikativt åtminstone vad han på en sådan punkt yttrar, då man från många av folkpartiets medlemmars sida varit mycket angelägen att svära sig fri från avsikten, att själva dyrortsgrupperingen som sådan skulle upphävas. Jag gjorde den reflexionen, då jag hörde herr Carlströms inlägg, att det var ett av de mer intelligenta för-</w:t>
        <w:br/>
        <w:br/>
        <w:t>Ang. dyrortsgradering av folkpensionerna m. m. (Forts.) svaren för högerståndpunkten i denna fråga. Men jag medger, att jag blev mycket överraskad av att höra, att en så framskjuten representant för ett socialt reformparti resonerar som han gör. För min del är jag övertygad om, att detta lands ekonomiska styrka är fullkomligt tillräcklig för att vi skola kunna försörja våra gamla, t. o. m. bättre än som föreslås av Kungl. Maj:t vid denna riksdag med tillstyrkan av vederbörande riksdagsutskott. Det är min bestämda övertygelse, att vi mycket väl orka med det, och jag säger, att ett samhälle, som gör en annan förklaring, i själva verket har avgivit ett slags ekonomisk bankruttförklaring.</w:t>
        <w:br/>
        <w:br/>
        <w:t xml:space="preserve">I fråga om socialvården säger herr Carlström, att om man i stället för den metod som nu använts, att lägga fram förslag efter förslag, försökte att så att säga knyta ihop i en enda samling, i en rad av punkter, kostnaderna för alla de olika sociala förslagen, skulle riksdagen inte vara villig att acceptera dem. Jag vet inte, om det bara var ett konstaterande av något som herr Carlström trodde, eller om det även var en förhoppning, att så icke skulle ha skett. För min del har jag aldrig tvekat om att söka se dessa saker även ur utgiftssynpunkt i ett sammanhang. Detta har ålagt mig en viss moderation — det är alldeles riktigt så att icke ett förslag skulle sluka så mycket pengar att det icke skulle bli något övrigt för ett annat. Men det har inte kommit mig att tveka om, att dessa uppgifter är det samhällets oavvisliga skyldighet att lösa. Och samhället skall skaffa de pengar, som behövas för att lösa dem, då det gäller de gamla utslitna, då det gäller fattiga </w:t>
      </w:r>
      <w:r>
        <w:rPr>
          <w:b/>
        </w:rPr>
        <w:t>mödrar²</w:t>
      </w:r>
      <w:r>
        <w:rPr>
          <w:b w:val="0"/>
        </w:rPr>
        <w:t xml:space="preserve"> och då det gäller barnen i vårt samhälle. Det är väsentligen på det området, som de olika sociala förslagen här syfta till en bättre ordning. Och jag vill säga, att bristen på översikt i fråga om kostnaderna är inte så stor som man möjligen skulle tro. Vi veta precis vad 1935 års folkpensionsreform kostar. Vi veta vad maximiutgifterna för den beslutade arbetslöshetsförsäkringen väntas bli. Vi veta, något så när åtminstone, vad sjukförsäkringskostnaderna bli för varje år. Det finnes kalkyler beträffande kostnaderna för moderskapspenningen, </w:t>
      </w:r>
      <w:r>
        <w:rPr>
          <w:b/>
        </w:rPr>
        <w:t>mödrahjälpen²</w:t>
      </w:r>
      <w:r>
        <w:rPr>
          <w:b w:val="0"/>
        </w:rPr>
        <w:t>, bosättningslånen, barnpensioneringen och den fria förlossningsvården, vilka förslag nu äro de huvudsakliga vid denna riksdag. Var och en kan sätta sig och se efter, och det står var och en fritt att därefter förklara, att med hänsyn till de samlade kostnaderna skola vi kasta dessa förslag i papperskorgen. Nu är detta ju gudskelov uteslutet, trots att vi ha ett frisinnat parti, vars ganska framstående medlemmar synas anse, att det egentligen vore riktigast att göra det. Jag vill bara konstatera det, ty det kan vara av visst intresse att ha det konstaterat från denna dags debatt.</w:t>
      </w:r>
    </w:p>
    <w:p>
      <w:pPr>
        <w:pStyle w:val="Heading2"/>
      </w:pPr>
      <w:r>
        <w:t>2. Nils Sandström (–, man)</w:t>
      </w:r>
    </w:p>
    <w:p>
      <w:r>
        <w:rPr>
          <w:b w:val="0"/>
        </w:rPr>
        <w:t>Herr talman! Jag vill till en början säga, att jag inte kommer att mycket belasta denna debatt, som jag anser ha bort kunna vara avslutad för länge sedan. Men det var en sak, som kom mig att begära ordet, och det var, då jag hörde herr Mårtensson på middagen tala om, att en del arbetsgivare funnit sig föranlåtna att sänka vissa s. k. arbetarpensioner under de belopp, varmed dessa pensioner tidigare utgått. Det förhåller sig ju så, att sedan många år tillbaka en hel del industriföretag runt om i vårt land ha på frivillighetens väg beslutat att till gamla uttjänta arbetare utbetala s. k. arbetarpensioner. Det har helt och hållet varit humanitära skäl, som föranlett dessa åtgärder, och det har inte alls förelegat något tvång för vederbörande i detta hänseende. Jag tror, att vi kunna ha grundad förhoppning att tänka, att detta förfaringssätt skall vinna allt större och större efterföljd. Det finnes en del tecken som tyda därpå. Senast i år ha en del stora industrier beslutat att använda de goda konjunkturerna till att avsätta ganska betydande summor för att säkerställa sådana arbetarpensioner. Jag tror för</w:t>
        <w:br/>
        <w:br/>
        <w:t xml:space="preserve">Ang. dyrortsgradering av folkpensionerna m. m. (Forts.) min del, att det inte främjar denna önskvärda utveckling, att man här i riksdagen, som herr Mårtensson gjorde, påtalar de sänkningar, som väl på några håll skett, eftersom han säger det, ty det har nog varit randiga orsaker och skäl, som varit vållande till dessa nedsättningar. Det är så, att då riksdagen 1935 införde de nya folkpensioneringsbestämmelserna, bestämdes bl. a. en viss privilegierad inkomst på 300 kronor, som man inte skulle behöva draga ifrån sina övriga inkomster då tilläggspensionen beräknades. Det är alldeles givet, att om vissa industrier tidigare ha utbetalat högre s. k. arbetarpensioner eller understöd än detta privilegierade belopp, får man inte alls undra på att de efter de nya pensionsbestämmelsernas tillkomst måste ändra eller sänka dessa pensioner, så att det inte uppstår ett sådant förhållande, att det blir avdrag på de tilläggspensioner, som staten skall lämna de folkpensionsberättigade. Om de inte göra det, verkar det bara på samma sätt, som om vederbörande industrier själva finge skänka detta överskjutande belopp till staten. Och de ha sannerligen tillräckligt att betala ändå genom sina dryga skatter till stat och kommun. Det bör räcka till för dem, så att de inte därjämte få betala även sådana här belopp. Det är nog alltså den orsaken som gjort, att det blivit vissa jämkningar i dessa utgående s. k. arbetarpensioner. Och då vi veta, att de fortfarande utgå fullständigt på frivillighetens väg, böra vi inte här i riksdagsdebatterna kritisera detta. Men om det är något, som på vederbörande arbetsplats bör påtalas, anser jag, att vederbörande böra gå den vanliga vägen. Fackföreningen kan göra framställning till vederbörande industrichef och påtala det som inte är bra. I det sammanhanget kan man tänka på det, som herr Mårtensson var inne på, då han ansåg, att även </w:t>
      </w:r>
      <w:r>
        <w:rPr>
          <w:b/>
        </w:rPr>
        <w:t>hustrurna²</w:t>
      </w:r>
      <w:r>
        <w:rPr>
          <w:b w:val="0"/>
        </w:rPr>
        <w:t xml:space="preserve"> böra 1å pension. Han säger, att även de skola få 100 kronor, som få dragas av, då tilläggspensionen beräknas för dem. Alltså menar han, att arbetsgivarna skola giva 100 kroror även till dessa </w:t>
      </w:r>
      <w:r>
        <w:rPr>
          <w:b/>
        </w:rPr>
        <w:t>hustrur²</w:t>
      </w:r>
      <w:r>
        <w:rPr>
          <w:b w:val="0"/>
        </w:rPr>
        <w:t xml:space="preserve">. Jag vill säga, att hittills har det inte varit praxis att även </w:t>
      </w:r>
      <w:r>
        <w:rPr>
          <w:b/>
        </w:rPr>
        <w:t>hustrurna²</w:t>
      </w:r>
      <w:r>
        <w:rPr>
          <w:b w:val="0"/>
        </w:rPr>
        <w:t xml:space="preserve"> fått pension. De s. k. arbetarpensionerna ha varit personliga och utgått till vederbörande arbetare själva på äldre dagar. Om det skulle bli ändring däruti, har jag intet emot det, men det bör ske så, att framställning göres till vederbörande industrier och att man efterhör, om det kan bli ändring i det fallet. De övriga 100 kronorna, som äro fria för folkpensionstagare, förutsätter jag vara disponerade på annat sätt, så att vederbörande ha en inkomst, som motsvarar dessa 100 kronor. Jag anser sålunda, herr talman, att man inte i debatten skall inblanda dessa saker, som strängt taget inte höra till utskottets betänkande. Jag har velat säga detta för att inte något missförstånd skall uppstå på grund av en föregående ärad talares uppgifter här.</w:t>
        <w:br/>
        <w:br/>
        <w:t>Beträffande själva sakfrågan anser jag inte, att jag här behöver gå in på den. Jag vill inte upprepa de argument, som tidigare äro anförda. Jag kan nöja mig med att instämma med de högertalare, som förut här förfäktat reservanternas sak.</w:t>
        <w:br/>
        <w:br/>
        <w:t>Herr förste vice talman, i likhet med dessa högertalare skall jag be att få yrka bifall till den reservation, som jag i utskottet biträtt, och avslag på Kungl. Maj:ts proposition.</w:t>
      </w:r>
    </w:p>
    <w:p>
      <w:pPr>
        <w:pStyle w:val="Heading2"/>
      </w:pPr>
      <w:r>
        <w:t>3. Oscar Tornegård (Bondeförbundet, man)</w:t>
      </w:r>
    </w:p>
    <w:p>
      <w:r>
        <w:rPr>
          <w:b w:val="0"/>
        </w:rPr>
        <w:t>Herr förste vice talman, mina damer och herrar! När jag tar till orda i denna för vårt land och folk ytterst viktiga fråga, är det inte därför, att jag tänker yrka avslag, ty jag har tänkt, att det knappast är lönt, att vi borgerliga i fortsättningen yrka avslag i denna fråga, så att borgerligheten och de borgerliga valmännen försvinna i vårt land och alla bli socialdemokrater. Jag tycker, att det blivit litet för mycket politik in-</w:t>
        <w:br/>
        <w:br/>
        <w:t>Jag tänkte i stället tala något om den motion jag väckt i denna kammare och vilken jag hoppats skulle fått litet bättre eller kanske mera grundlig behandling av utskottet än den i verkligheten fått. Jag påpekade i denna motion, hurusom det blir en orättvisa mellan landsbygdens och städernas fattigvårdsstyrelser, eftersom dessa fattigvårdsstyrelser i städerna komma att förtjäna på denna dyrortsgruppering. Vi veta alla, att städernas fattigvårdsstyrelser nu komma att få betalt efter högre pensioner för alla pensionärer, som vistas på deras ålderdomshem, och för de personer som dessa fattigvårdsstyrelser hålla på andra anstalter, anstalter för kroniskt sjuka, statens sinnesslöanstalter och sinnessjukhus. Det är sålunda personer, som egentligen inte kunna hjälpas med någon pension. De äro skilda från sina hem, skilda från sina anhöriga och äro helt och hållet förflyttade från sin miljö till ett annat ställe, till en allmän anstalt, där det allmänna uppbär pensionen för dem. Då har jag ansett, att i och med att det nu är föreslaget i den kungl. propositionen, att t. ex. en pensionär, som flyttar från Stockholm till landsorten, skall anmäla detta, varigenom hans pension blir sänkt i förhållande till dyrortsgrupperingen för den ort, varifrån han flyttar, och den ort, dit han kommer, så kunde det lika väl bli bestämt, att om en pensionär flyttar från sitt hem, han också skulle bliva i pensionshänseende sänkt till den dyrortsgruppering, som är bestämd för landet i dess helhet. Jag ansåg då, att alla, som vistas 1 sådana allmänna inrättningar som våra fattigvårdsanstalter, våra anstalter för kroniskt sjuka, sinnesslöanstalter och dylika, skulle erhålla lika hög pension över hela landet, så att pensionen där övergångsbestämmelserna skola tillämpas skulle bli 300 kronor och, sedan lagen trätt i kraft, 250 kronor. Naturligtvis skulle då dyrorterna inte betala annat än den lägre avgiften för de pensionärer, som vistas på ålderdomshem eller andra anstalter. Stockholms stad skulle då förlora 96 kronor 25 öre för varje pensionär som vistas i dessa anstalter, och övriga i grupp 3 118 kronor 75 öre, medan de i grupp 2 samt övriga städer och samhällen skulle förlora 76 kronor 25 öre, som skulle komma statskassan till godo. Det blir naturligtvis inga stora belopp, men det hade alltid gjort något. Det kanske skulle bli en eller två miljoner kronor för hela landet, och då hade den rättvisan skipats, att det blivit samma ersättning till samtliga fattigvårdsstyrelser. Även de, så att säga, mindre bemedlade fattigvårdsstyrelserna, som tillhöra landsbygdens kommuner, hade då fått samma ersättning som fattigvårdsstyrelserna i städerna. Riktigheten härav framgår också tydligt av den kungl. propositionen på sidan 34, där det yttras: »Såsom i betänkandet framhålles, torde avsikten med 1935 års pensionsreform icke hava varit att bereda de dyrare kommunerna och särskilt de största städerna en lättnad, som icke komme de övriga och ofta mindre bärkraftiga kommunerna till del.&gt; Men som det kungl. förslaget nu är uppgjort, komma faktiskt de bättre lottade kommunerna att bli premierade på de fattigare kommunernas bekostnad. I ännu högre grad kommer det att verka orättvist, när en enskild försörjningspliktig skall taga hand om en nära anförvant, som blir liggande på långliggarsjukhus, t. ex. en anstalt för kroniskt sjuka eller dylikt. Om det är en enskild försörjningspliktig i Stockholm, behöver han inte betala så mycket som man får betala på landsbygden. Han kommer att få 200 kronor högre pension och slipper betala de 200 kronor, som han får av pensionsstyrelsen. Då kan han ha försörjningstagaren på anstalten för 200 kronor billigare än en person på landsbygden. Jag tar ett exempel hemifrån. Om jag t. ex. tar Borgholm och Kalmar och det är en enskild försörjningspliktig i Borgholm, som får en nära anförvant liggande på Västerviks hospital eller på ett annat sjukhus, får han betala lika mycket</w:t>
        <w:br/>
        <w:br/>
        <w:t>Ang. dyrortsgradering av folkpensionerna m. m. (Forts.) som en enskild försörjningspliktig i Kalmar stad, men ändå kommer den enskilde försörjningspliktige i Kalmar att erhålla 100 kronor mera tillbaka i form av pension än den enskilde försörjningspliktige i i Borgholm kan erhålla. Denna orättvisa anser jag inte böra få bli stadfäst i lag utan att hava påtalats. Och det kommer att bli orättvisor för framtiden, om det inte går att få rättvisa här. Jag hade nästan tänkt att yrka bifall till min motion, om det skulle bli votering, men nu kommer jag inte att göra det, sedan chefen för socialdepartementet förklarat, att han kommer att ha extra tillsyn över de sociala välfärdsinrättningarna i landet. Då hoppas jag, att de synpunkter, som blivit framdragna i min motion, komma att beaktas.</w:t>
        <w:br/>
        <w:br/>
        <w:t>Jag hade också i min motion intagit en liten passus om de s. k. undantagsmännen i landet. Det är en del fattiga människor, som leva uteslutande på en liten undantagsförmån, som förut ägt en liten gård och inte fått något annat över, än att de fått behålla en liten undantagsförmån, då de sålt sin gård, antingen till sina barn eller också till utomstående och oskylda personer. Denna del av min motion har utskottet också behandlat rätt lättvindigt. Det heter i utskottets betänkande: »I många fall förekommer det emellertid, särskilt då fråga gäller mindre egendomar, att vid överlåtelse till barn av egendomen undantagskontrakt upprättas, som omfattar förmåner till ett värde vida överstigande nedsättningen av köpeskillingen i förhållande till den normala. För sådana fall synes emellertid övervärdet av de utfästa förmånerna närmast böra betraktas såsom understöd, som utgår på grund av barnens försörjningsplikt, och av denna anledning icke upptagas såsom inkomst, då fråga gäller fastställandet av tilläggspensionens storlek. Enligt vad utskottet har sig bekant, har pensionsstyrelsen även hittills tillämpat en sådan princip. Utskottet kan på anförda skäl icke tillstyrka bifall till förevarande motion.» Jag har för säkerhets skull i dag ringt till pensionsstyrelsens ombud på Öland, som upplyste om att under en följd av år har pensionsstyrelsen tillämpat den taktiken, att medan mjölk kunnat köpas för 10 öre litern hemma hos vilken lantbrukare som helst, skall den för dessa gamla med undantagsförmåner beräknas efter 15 öre litern. Vidare har under den tid vetet sålts för 12—15 öre vid kvarnarna beräknats ett pris av 16 öre, och rågen har också tagits upp efter 16 öre. Dessa personer, som åtnjuta sina små undantagsförmåner, bli på detta sätt inte, som det heter i i utskottets förslag, hjälpta av pensionsstyrelsen, utan snarare stjälpta genom att förmånerna beräknas efter högre priser än dem som verkligen gälla. Jag har, sedan jag väckte min motion, fått brev från åtskilliga sådana personer, däri de klagat sin nöd och sagt, att deras förmåner av ett par liter mjölk om dagen, fri vedbrand och en del andra små förmåner från gårdarna värderats så högt, att de inte kommit i åtnjutande av någon pension. Det är ändå bedrövligt, att dessa gamla förmånstagare, som blivit utslitna i jordbruket, inte skola kunna få denna lilla undantagsförmån räknad som privilegierad inkomst likaväl som t. ex. en arrendator, som arrenderat en gård hos ett bolag under en följd av år men som, när han inte orkar bruka gården längre, har möjJ- lighet att, om han får en liten pension eller undantagsförmån, som består i att han får bo kvar i en stuga och erhåller fri vedbrand och husrum, inte behöver räkna in denna förmåns värde vid beräkningen av folkpensionen. Jag hoppas som sagt, att även denna orättvisa skall rättas till, så att det blir en allmän översyn över de sociala välfärdsanordningarna i vårt land.</w:t>
        <w:br/>
        <w:br/>
        <w:t>Herr talman! Jag har intet yrkande utan har bara velat påpeka dessa saker.</w:t>
      </w:r>
    </w:p>
    <w:p>
      <w:pPr>
        <w:pStyle w:val="Heading2"/>
      </w:pPr>
      <w:r>
        <w:t>4. Olof Andersson (Socialdemokraterna, man)</w:t>
      </w:r>
    </w:p>
    <w:p>
      <w:r>
        <w:rPr>
          <w:b w:val="0"/>
        </w:rPr>
        <w:t>Herr talman! Jag begärde ordet närmast för att något beröra vad herr Lundell uttalat dels i den motion han väckt, dels i det anförande han i dag här hållit. Det gäller först och främst hans synpunkter</w:t>
        <w:br/>
        <w:br/>
        <w:t xml:space="preserve">Detta är ett svårt problem att ge sig in på. Det behövs ett omfattande underlag för ett bedömande, och det underlag av senaste datum, som vi ha i detta avseende, är det som 1935 års dyrortsgruppering bygger på, nämligen uppgifter från år 1934 på kostnader för varor, bränsle, bostad, ete. Jag skall, herr talman, från denna utredning be att få anföra endast några siffror för att belysa, hurudana förhållandena äro i landet, hur de totala levnadskostnaderna kollektivt växla, liksom också hur priset när det gäller olika huvudposter varierar. Här rör man sig med den budget, som socialstyrelsen arbetar med i sina dyrortsgrupperingar. Enligt socialstyrelsens beräkningar, som avse en till ?/, avkortad budget, varierar totalbudgeten för en normalfamilj om man, </w:t>
      </w:r>
      <w:r>
        <w:rPr>
          <w:b/>
        </w:rPr>
        <w:t>hustru²</w:t>
      </w:r>
      <w:r>
        <w:rPr>
          <w:b w:val="0"/>
        </w:rPr>
        <w:t xml:space="preserve"> och två eller tre barn mellan 1,413 och 2,713 kronor. Det är sålunda en väldig spännvidd mellan dessa tvenne siffror. Vad livsmedlen beträffar, en av de väsentligaste posterna, skulle man tro, att det skulle vara mindre skillnad mellan olika orter. Men det har faktiskt visat sig, att livsmedelspriserna variera mellan 770 och 1,330 kronor. Där är det närmast Norrland, som får stå för det dyra hushållet med de högsta livsmedelspriserna. Se vi på bostäderna, är det en variation mellan 250 och 1,151 kronor. Det är därvidlag de större städernas invånare, som få betala de största beloppen. Slutligen ytterligare en post, nämligen bränslet, som varierar mellan 40 och 269 kronor. Det är klart, att en del fel vidlåda denna utredning liksom allt annat mänskligt, men man kan å andra sidan säga sig, att den i det stora hela givit ett resultat, som ger klart belägg på, att det i olika delar av landet är mycket skiftande levnadskostnader, både vad totaliteten och de enskilda posterna beträffar. Det är nu två eller tre år sedan utredningen ägde rum. Det är möjligt och troligt, att speciellt när det gäller livsmedlen en viss nivellering skett, men det finns väl ingen, som tror, att denna utjämning kan ha haft så stor betydelse, att all slags gruppering efter olika orter skulle vara överflödig. Jag tror, att siffrorna visa tydligt och klart, att om man vill söka åstadkomma folkpensioner, som äro i realiteten jämbördiga på olika orter i landet, måste man räkna med viss dyrortsgradering.</w:t>
        <w:br/>
        <w:br/>
        <w:t>Det förslag, som här föreligger, anser jag för min del vara en konsekvens av det beslut riksdagen fattade 1935. Ingen tror väl, att genomförandet av förslaget kommer att medföra, att alla understöd från fattigvården därmed komma att upphöra. Det är ju så, att även de belopp, som föreslås, äro för små, och därför måste man tänka sig, att kommunerna 1 många fall måste genom fattigvård eller kommunala pensionstillägg ge en del av dessa gamla, fattiga litet extra tillskott och hjälp. Den grupp, som måhända i främsta rummet behöver hjälp och som inte får den hjälp folkpensionen i övrigt ger, är de ensamstående pensionärerna, och det skulle vara önskligt, att det inom en inte alltför lång tidrymd kunde bli en reform på den punkten, så att ensamstående pensionärer komma att bli jämställda relativt sett med ett par äkta makar i fråga om den hjälp, som lämnas i form av folkpension.</w:t>
        <w:br/>
        <w:br/>
        <w:t>Jag ber, herr talman, att få yrka bifall till föreliggande förslag.</w:t>
        <w:br/>
        <w:br/>
        <w:t>Därutöver vill jag, herr talman, säga ett par ord med anledning av herr Bagges anförande. Han nämnde, att man från socialdemokratiskt håll under riksdagsmannavalen 1936 på ett, så vitt jag förstod honom rätt, otillbörligt sätt hade utnyttjat folkpensionsfrågan i agitationen och inte på ett riktigt sätt klarlagt den verkliga innebörden av förslaget om dyrortsgruppering. Det hade va-</w:t>
      </w:r>
    </w:p>
    <w:p>
      <w:pPr>
        <w:pStyle w:val="Heading2"/>
      </w:pPr>
      <w:r>
        <w:t>5. Tor Wolgast (–, man)</w:t>
      </w:r>
    </w:p>
    <w:p>
      <w:r>
        <w:rPr>
          <w:b w:val="0"/>
        </w:rPr>
        <w:t>Herr talman! Vad vi på landsbygden framför allt inte vilja vara med om, när det är fråga om folkpensionerna, är, att de skola bestämmas inom en viss kostnadsram på det sättet, att vi på landet skola få lägre pensioner till följd av dyrortsgrupperingen. Detta var, efter vad jag förstår, just den ståndpunkt, som intogs av bondeförbundet 1935. Det är nu på det sättet, att landsbygdens folk fått en folkpension enligt ortsgrupp I, som kan anses tillfredsställande. Skulle det bli så, som herr Skoglund påstod att det redan nu är, att priserna på landsbygden komma i paritet med städernas, antager jag, att en utredning kommer till stånd, så att landsbygdens folk på denna punkt får full rättvisa. Jag får erkänna, att vi på landet ibland äro litet tveksamma, huruvida det är så billigt där i jämförelse med i staden.</w:t>
        <w:br/>
        <w:br/>
        <w:t>Men det som för mig står som det viktigaste är frågans rent skatteutjämnande innebörd. Det synes mig, som kommer från en oerhört skattetyngd landskommun, att det på sätt och vis är en orättvisa, att man hjälper t. ex. Stockholms stad, där rikedomen är placerad, genom dyrortsgrupperingen, medan jag naturligtvis anser, att landsbygden i första hand skall bli hjälpt.</w:t>
        <w:br/>
        <w:br/>
        <w:t>Herr Carlström påstod emellertid, att dyrortsgrupperingen är sådan, att man inte kan genomföra den på grund av de stora utgifter, som den skulle medföra för staten. Socialministern har också framhållit, att om man skulle vara konsekvent, borde man yrka avslag på alla de förslag i fråga om den sociala omvårdnaden, som ligga på riksdagens bord. För min del får jag lov att säga, att jag resonerar fullständigt tvärtom. Det är just på grund av dessa förslag, bl. a. förslaget om barnpensionering, som landsbygden erhåller en del förmåner. De innebära en skattelättnad för oss, och det gör, att vi kunna anse, att en skatteutjämning skett.</w:t>
        <w:br/>
        <w:br/>
        <w:t>Socialministern har här talat om, att det skall bli en översyn när det gäller fattigvården och den sociala hjälpverksamheten överhuvud taget. Jag passar då på att uttrycka den förhoppningen, att denna översyn måtte leda därhän, att det blir en ytterligare avlastning av kommunernas börda på grund av den sociala hjälpverksamheten. Vi fingo i höstas ute i kommunerna på remiss ett sakkunnigbetänkande från skattekommittén. Det talades däri om ett bidrag på 11 miljoner kronor men också om ett bättre bidrag på 25 miljoner kronor. Skulle ett sådant förslag vinna riksdagens bifall, måste det givetvis av landsbygdens folk hälsas med stor tillfredsställelse. Då uppställer sig den frågan, herr Carlström: Kommer herr Carlström, i anslutning till sitt yttrande om omöjligheten för staten att pålägga sig ytterligare bördor, att också yrka avslag på ett sådant förslag?</w:t>
        <w:br/>
        <w:br/>
        <w:t>Socialministern var inne på frågan om att fattigvården skulle upphöra. Jag skulle vilja opponera mig mot det sätt, varpå man på många håll talar om fattigvård. Den som ägnat sig åt detta arbete i många år tycker ju, att det inte är vidare roligt att man lagt ned sin kraft på ett arbete, som blivit liksom satt i en lägre klass. Jag skulle vilja påpeka, att den behövande, som uppsöker ordföranden i sin fattigvårdsstyrelse och begär hjälp av denne, ingalunda behöver känna sig förödmjukad. Det är väl inte säkert, att den enda hjälp, som en nödlidande behöver, är en slant, som man kastar åt honom. Jag vågar försäkra, att under den tid jag haft med fattigvård att göra, har jag fått besök av många, som behövt hjälp, och det har inte bara varit fråga om hjälp i form av en slant utan också i form av ett gott råd. Det kan vara</w:t>
        <w:br/>
        <w:br/>
        <w:t xml:space="preserve">Gränsen mellan pension och fattigvård har det här varit tal om, och det kan tyckas, som om den skulle vara ganska flytande. Principiellt har socialministern förklarat, att pensionerna skola ersätta fattigvården. När den nya lagen skulle träda i kraft den 1 januari i år, kommo fattigvårdsstyrelsernas ordförande i flera härad nere i Blekinge tillsammans för att dryfta det sålunda uppkomna läget. Det visade sig då, att vi voro tämligen överens om att understöden kunde på en del undantag när slopas på landsbygden i dess helhet, men att det ställde sig annorlunda när det gällde städerna och industricentra. Men om t. ex. en närliggande stad hade dyrortsgruppering, kunde det vara möjligt att slopa understöden även där. Alltså kan man i stort sett säga, att folkpensionerna med dyrortsgruppering komma att ersätta fattigvården. Det som styrker mig ytterligare däri är ett P. M., som jag fått mig tillsänt från länsassessorn i länet — jag skulle uttala mig om ett förslag, som skulle vara rättesnöre, när det gällde utslagen i fattigvårdsmål. Jag jämförde vad länsstyrelsen skulle utdöma i fattigvård med vad personen i fråga skulle ha erbållit i folkpension, och jag fann, att god överensstämmelse rådde med undantag för de pensionärer, som hade barn, men vilkas </w:t>
      </w:r>
      <w:r>
        <w:rPr>
          <w:b/>
        </w:rPr>
        <w:t>hustrur²</w:t>
      </w:r>
      <w:r>
        <w:rPr>
          <w:b w:val="0"/>
        </w:rPr>
        <w:t xml:space="preserve"> inte hade pension. I sistnämnda fall visade det sig, att pensionen bleve för liten. Jag har gjort en beräkning med hänsyn till det nuvarande förslaget om barnpension, och då har jag funnit, att genom denna komplettering pensionen är tillräcklig.</w:t>
        <w:br/>
        <w:br/>
        <w:t>Jag tycker också, herr Carlström, att det är litet för mycket att säga, att de organisationssakkunnigas förslag föll på grund av motståndet från oss småpåvar ute i kommunerna. Vi ha i kommunerna en helt annan uppfattning. Vi småpåvar ansågo, att förslaget borde falla därför att det inte var bra.</w:t>
        <w:br/>
        <w:br/>
        <w:t>Socialministern lovade oss en översyn. Man har förklarat här, att den skulle leda till, att det endast skulle bli ett sammanförande av de olika understödsformerna. Detta var också organisationssakkunnigas förslag. Det visade sig emellertid, inte hålla måttet. Om jag vågar uttala litet av mina idéer på detta område, skulle jag vilja säga, att den översyn, som skall ske, kanhända kan gå ut på en sammanslagning på något sätt, men den måste ovillkorligen medföra, att den kommunala skattebördan blir mindre och likaså att det expeditionella arbetet inom kommunerna minskas. Ouppbörligt sväller detta arbete ut, och organisationssakkunnigas lika litet som skattesakkunnigas förslag innebär någon reducering av den oerhörda expeditionsbörda, som fattigvårdsstyrelserna bära på sina axlar. Man kan emellertid skönja, att det kanske kommer andra tider för de betryckta landskommunerna, då man verkligen tänker på att lätta denna börda. Det anser jag vara ett stort glädjeämne för landskommunerna.</w:t>
        <w:br/>
        <w:br/>
        <w:t>i Med dessa ord ber jag,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2100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