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809</w:t>
      </w:r>
    </w:p>
    <w:p>
      <w:r>
        <w:rPr>
          <w:b/>
        </w:rPr>
        <w:t xml:space="preserve">Datum: </w:t>
      </w:r>
      <w:r>
        <w:t>1938-03-02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Björkman (Högerpartiet, man)</w:t>
      </w:r>
    </w:p>
    <w:p>
      <w:r>
        <w:rPr>
          <w:b w:val="0"/>
        </w:rPr>
        <w:t>Herr talman! Den förste talaren i dagens debatt sade att han hade den erfarenheten att de, som satt sig in i de förhållanden, vilka här äro föremål för övervägande, vore övertygade om att vissa ändringar borde ske. Jag vågar nu åberopa också min erfarenhet, trots att min partivän den siste ärade talaren ansåg, att de, som bestämde lagen, därvid utgingo från enbart teoretiska och juridiska synpunkter. Men jag vill framhålla att de synpunkter, som jag på grund av min erfarenhet har, motsäga denna uppfattning och går i motionens syfte.</w:t>
        <w:br/>
        <w:br/>
        <w:t>Det är dels i min egenskap av ordförande i en domstol, som så gott som varje vecka har att handlägga adoptionsärenden, och dels i min egenskap — på grund av ämbetsställning — av ordförande i en stor barnhusinrättning, som utackorderar fosterbarn på landsbygden, som jag hyser den meningen, att det vore lyckligt, om ett bifall till motionen skulle bli kammarens beslut. Jag förutsätter att jag härvidlag har rättighet att deklarera, att jag fullkomligt tar avstånd från den motion, som var före i det föregående betänkandet på föredragningslistan, nämligen motionen angående jämställande i rättsligt avseende av barn utom äktenskap med barn inom äktenskap. Och att jag anser att det är ett lämpligt tillfälle, om man i ett fall som detta, då man verkligen finner sig</w:t>
        <w:br/>
        <w:br/>
        <w:t xml:space="preserve">Jag sade nyss, att jag var ordförande i en barnhusdirektion, och jag vill då nämna, att vi i den direktionen redan för tio eller femton år sedan utfärdade en cirkulärskrivelse till fosterföräldrar, som hade våra skyddslingar hos sig och av vilka åtskilliga hade egna barn, och påpekade för dem de fördelar, som skulle kunna vara förbundna med att låta en adoption äga rum, vid vilken adoption vår barnhusinrättning skulle vara till hands med råd och upplysningar. Vi voro nämligen ganska förvissade om att därest föräldrarna skulle komma till en advokat, som när han slog upp adoptionslagen skulle finna, att barn icke får adopteras i det fall, där adoptanten redan har barn, utan »synnerligen vägande omständigheter», så skulle denne advokat helt naturligt kunna förklara, att det icke förelåg några synnerligen vägande skäl förutom de allmänna, och att då i många fall en adoptionsfråga aldrig skulle komma fram till en domstol, som dock på bästa sätt vill tillgodose alla de synpunkter, som man anser vara de bestämmande vid adoptions beviljande. Ty jag vill betona att jag är alldeles förvissad om att de flesta domstolar, när en adoptionsfråga kommer före, se på de synnerligen viktiga omständigheter, som skola vara förhanden vid en adoption, i mycken liten utsträckning från teoretiska och juridiska synpunkter, utan att de tvärtom försöka att noga överväga även de synpunkter, som anföras i motionen. Vi ha förstått inom den domstol, där jag har verkat, att när det kommer en fader och en </w:t>
      </w:r>
      <w:r>
        <w:rPr>
          <w:b/>
        </w:rPr>
        <w:t>moder²</w:t>
      </w:r>
      <w:r>
        <w:rPr>
          <w:b w:val="0"/>
        </w:rPr>
        <w:t>, som har ett eller tilläventyrs flera barn, och begära adoption, så är det de — föräldrarna — som i främsta rummet skola tillvarataga de egna barnens intressen och se till att någon orättfärdighet icke begås. Jag vet också att till beaktande komma de skyddsbestämmelser, som finnas i lagen angående arv med avseende på adoption, då det nämligen står skrivet i lagen, att tillgodoseendet av den adopterades intressen icke får gå så långt, att det sker på bekostnad av de egna barnens laglott.</w:t>
        <w:br/>
        <w:br/>
        <w:t>Jag anser alltså i huvudsak, att en utvidgning av lagen icke hade behövts, om man hade kunnat vara förvissad om att samma anda varit rådande inom alla domstolar som inom dem, där adoptionsförfarande ofta förekommer och där till noggrant övervägande komma även de synpunkter, som stå i överensstämmelse med vad motionärerna här anfört. Men det kan ju dock förhålla sig så, att en hel del domstolar, som icke så ofta ha frågor om adoptionsförfarande uppe till avgörande, icke anlägga de vidare synpunkter på denna sak. som synas vara nyttiga och nödvändiga.</w:t>
        <w:br/>
        <w:br/>
        <w:t>Här ha redan förut anförts de fördelar, som kunna vinnas både för de barn, som förut finnas i familjen, genom en ökning av syskonskaran, och för de barn, som skola komma in i syskonskaran, liksom även för föräldrarna själva. Och man har i många fall kunnat konstatera det ganska egendomliga förhållandet, att föräldrar, som ha ett barn, men där det sedermera dröjt länge innan det andra kommit, sedan de väl tagit ett adoptivbarn kunnat se sin barnaskara ökas. Det har kanske haft sin orsak i det nytillkomna barnets lugnande inverkan och genom att i familjen kommit in en annan anda, som utvecklat familjelivet i en rätt riktning.</w:t>
        <w:br/>
        <w:br/>
        <w:t>Jag har, herr talman, icke något ytterligare att tillägga. De erfarenheter, jag har haft, göra att jag vill underlätta bedömandet för de domstolar, som måhända icke så fritt anse sig kunna tillämpa de mindre teoretisktjuridiska grundsatser, som inom de större domstolarna äro tillämpade, och jag ber därför, herr talman, att få yrka bifall till reservationen.</w:t>
      </w:r>
    </w:p>
    <w:p>
      <w:pPr>
        <w:pStyle w:val="Heading2"/>
      </w:pPr>
      <w:r>
        <w:t>2. Gunnar Myrdal (Socialdemokraterna, man)</w:t>
      </w:r>
    </w:p>
    <w:p>
      <w:r>
        <w:rPr>
          <w:b w:val="0"/>
        </w:rPr>
        <w:t xml:space="preserve">Herr talmant Jag skall endast be att få en kort replik till det intresseväckande anförande, som utskottets representant herr Johanson nyss hade. Han meddelade nämligen, om jag förstod honom rätt, att majoriteten i utskottet vid frågans behandling, icke tagit hänsyn till de synpunkter, som fromkomma när man ser frågan ur de utomäktenskapliga barnens synpunkt. Det kan ju på sätt och vis för mig göra det förklarligt, att majoriteten kommit att intaga den egendomliga ställning som den gjort. Fullt förklarlig synes mig emellertid saken icke vara, eftersom vi motionärer först och främst i vår nu förevarande motion hänvisat till en annan motion, nr 125, där dessa synpunkter äro rätt vidlyftigt utvecklade, och eftersom vidare utskottet självt vid redogörelsen för motionen nr 102, beträffande de skäl, som motionärerna anfört, hänvisat till en annan av samma motionärer väckt motion, d. v. s. just nr 125 om utredning rörande beredande av bättre skydd och vård åt utomäktenskapliga barn och deras </w:t>
      </w:r>
      <w:r>
        <w:rPr>
          <w:b/>
        </w:rPr>
        <w:t>mödrar²</w:t>
      </w:r>
      <w:r>
        <w:rPr>
          <w:b w:val="0"/>
        </w:rPr>
        <w:t>.</w:t>
        <w:br/>
        <w:br/>
        <w:t>I allt fall är påpekandet för oss, som här vilja ha en ändring till stånd, synnerligen värdefullt, då det ju närmast tyder på att utskottsmajoriteten, eller en del av utskottsmajoriteten åtminstone, om den hade lagt den vidare synpunkt på frågan, som den dock själv refererar till, skulle ha kommit till en annan ståndpunkt. Det är alltså en anledning för kammaren, enligt mitt förmenande, att inte ta majoritetens omdöme i denna fråga så allvarligt, eftersom majoritetens egen talesman nyss talat om att majoriteten icke beaktat ett av de viktigaste av de skäl, som motionärerna anfört och som utskottet självt faktiskt hänvisat till.</w:t>
        <w:br/>
        <w:br/>
        <w:t>Medan jag har ordet, skall jag tillåta mig att i största korthet framhålla, att det av herr Johanson framförda skälet att man skulle göra det ensamma egna barnet något gott genom att skydda det från föräldrarnas vilja att eventuellt adoptera ett syskon, det skälet kan jag för min del inte godkänna. Jag vågar påstå att alla, som sysslat med familjeoch uppfostringsproblem, enhälligt kommit till den ståndpunkten, som även är vetenskapligt underbyggd i den moderna pedagogiken och psykologien, att det är skadligt att vara ensam, när man växer upp, och att det är lyckligt och nyttigt att ha syskon. Om det är fostersyskon eller inte spelar icke så stor roll — vi skola akta oss för att överdriva blodsmystiken i detta sammanhang.</w:t>
        <w:br/>
        <w:br/>
        <w:t>Herr Johanson gjorde vidare gällande, att synpunkten att det skulle föreligga uppfostringssvårigheter beträffande det ensamma barnet kanske var viktigare förr än nu. Detta är inte riktigt. Det förhåller sig tvärtom på det viset, att det är i de moderna industrialiserade samhällsförhållandena, då familjerna i större utsträckning bo i städer i små lägenheter, som det ensamma barnets uppfostran har blivit till ett verkligt problem. Jag vet att alla barnläkare och uppfostrare hålla med mig i denna sak. Det var helt annorlunda förr och på landet. Om det då fanns ett ensambarn i en familj, hade det både hättre kontakt med naturen och bättre tillgång till jämnåriga lekkamrater.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