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819</w:t>
      </w:r>
    </w:p>
    <w:p>
      <w:r>
        <w:rPr>
          <w:b/>
        </w:rPr>
        <w:t xml:space="preserve">Datum: </w:t>
      </w:r>
      <w:r>
        <w:t>1938-04-03</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Theodor Nilsson (Socialdemokraterna, man)</w:t>
      </w:r>
    </w:p>
    <w:p>
      <w:r>
        <w:rPr>
          <w:b w:val="0"/>
        </w:rPr>
        <w:t>Herr talman, ärade kammarledamöter! Då jag tillsammans med herr Gustavson i Västerås har anfört reservation vid denna punkt, nödgas jag taga kammarens tid i anspråk för att i någon mån utveckla de skäl, som föranlett mig att intaga denna ståndpunkt till ärendet.</w:t>
        <w:br/>
        <w:br/>
        <w:t>Jag ber till att börja med att få säga, att utskottet avstyrker motionen på grund av principiella betänkligheter. Utskottet anser, att ett bifall skulle kunna komma att medföra icke önskvärda konsekvenser. J ag vill säga, att jag skulle varit den siste, som velat bifalla motionen, i händelse Jag trott att några betänkliga konsekvenser skulle kunna vara förknippade med ett bifall till densamma, och jag vill tillägga, att de konsekvenser, som eventuellt kunna följa, tror jag riksdagen skall kunna ta i framtiden med värdighet och gott mod. Riksdagen är ju ändå den suveräne, som i varje särskilt fall förbehåller sig prövningsrätten, och i fall som detta tror jag, att riksdagen, om den nu går med på motionen, kommer att i framtiden kunna stå till svars med gott mod.</w:t>
        <w:br/>
        <w:br/>
        <w:t xml:space="preserve">Jag skall då med några ord ge en liten bild av det här föreliggande fallet. Den skollärare, det här är fråga om, var född 1855 och anställdes i unga år 1 Skaftö skoldistrikt i Bohuslän. År 1893 blev han </w:t>
      </w:r>
      <w:r>
        <w:rPr>
          <w:b/>
        </w:rPr>
        <w:t>änkeman²</w:t>
      </w:r>
      <w:r>
        <w:rPr>
          <w:b w:val="0"/>
        </w:rPr>
        <w:t xml:space="preserve"> med fem oförsörjda minderåriga barn. Vid </w:t>
      </w:r>
      <w:r>
        <w:rPr>
          <w:b/>
        </w:rPr>
        <w:t>hustruns²</w:t>
      </w:r>
      <w:r>
        <w:rPr>
          <w:b w:val="0"/>
        </w:rPr>
        <w:t xml:space="preserve"> frånfälle tillträdde den nu ifrågavarande efterlämnade </w:t>
      </w:r>
      <w:r>
        <w:rPr>
          <w:b/>
        </w:rPr>
        <w:t>änkan²</w:t>
      </w:r>
      <w:r>
        <w:rPr>
          <w:b w:val="0"/>
        </w:rPr>
        <w:t xml:space="preserve"> skötseln av huset och vårdnaden om barnen. </w:t>
      </w:r>
      <w:r>
        <w:rPr>
          <w:b/>
        </w:rPr>
        <w:t>Hon²</w:t>
      </w:r>
      <w:r>
        <w:rPr>
          <w:b w:val="0"/>
        </w:rPr>
        <w:t xml:space="preserve"> tjänade där som </w:t>
      </w:r>
      <w:r>
        <w:rPr>
          <w:b/>
        </w:rPr>
        <w:t>husförestånderska³</w:t>
      </w:r>
      <w:r>
        <w:rPr>
          <w:b w:val="0"/>
        </w:rPr>
        <w:t xml:space="preserve"> under en tid av 30 år, allt under det barnen växte upp, och först efter att det sista barnet hade lämnat hemmet 1923, ingicks äktenskap mellan den nu bemälde skolläraren och den </w:t>
      </w:r>
      <w:r>
        <w:rPr>
          <w:b/>
        </w:rPr>
        <w:t>änka²</w:t>
      </w:r>
      <w:r>
        <w:rPr>
          <w:b w:val="0"/>
        </w:rPr>
        <w:t xml:space="preserve">, som motionen gäller. På 1880- och 1890-talen och fram på 1900-talet hade ju en skollärare i högsta lönegraden en inkomst av i runt tal cirka 1,000 kronor. Den efterlämnade </w:t>
      </w:r>
      <w:r>
        <w:rPr>
          <w:b/>
        </w:rPr>
        <w:t>änkan²</w:t>
      </w:r>
      <w:r>
        <w:rPr>
          <w:b w:val="0"/>
        </w:rPr>
        <w:t xml:space="preserve"> hade under hela den tid </w:t>
      </w:r>
      <w:r>
        <w:rPr>
          <w:b/>
        </w:rPr>
        <w:t>hon²</w:t>
      </w:r>
      <w:r>
        <w:rPr>
          <w:b w:val="0"/>
        </w:rPr>
        <w:t xml:space="preserve"> haft anställning haft en lön av högst 100 kronor om året. Jag ber att få påpeka som särskilt ömmande i detta fall, att då den läraren blev pensionsmässig vid 65 års ålder och erhöll pension, skulle han givetvis ha ingått äktenskap med denna </w:t>
      </w:r>
      <w:r>
        <w:rPr>
          <w:b/>
        </w:rPr>
        <w:t>hushållerska³</w:t>
      </w:r>
      <w:r>
        <w:rPr>
          <w:b w:val="0"/>
        </w:rPr>
        <w:t xml:space="preserve">, som hade varit så troget hos honom, då han likväl tänkte att ingå äktenskap. </w:t>
      </w:r>
      <w:r>
        <w:rPr>
          <w:b/>
        </w:rPr>
        <w:t>Hon²</w:t>
      </w:r>
      <w:r>
        <w:rPr>
          <w:b w:val="0"/>
        </w:rPr>
        <w:t xml:space="preserve"> var ju i hemmet och var alltså tillgänglig, kan man säga, hela tiden för äktenskap, men han ville väl av hänsyn till sina barn inte begå denna handling, förmodar jag, då äktenskapet först kom till stånd omedelbart efter det att det sista barnet lämnat hemmet. Jag tror, herr talman, att det var vackra bevekelsegrunder, som föranledde denne man att icke ingå äktenskap under tiden</w:t>
        <w:br/>
        <w:br/>
        <w:t xml:space="preserve">De principer, som det talas om här och vilkas brytande av utskottet befaras kunna medföra, som det heter, mindre önskvärda konsekvenser, äro ju ändå för länge sedan brutna i bankoutskottet. År 1928 t. ex. förelåg det en motion i första kammaren, nr 177. Då beviljades pension åt en 79-årig </w:t>
      </w:r>
      <w:r>
        <w:rPr>
          <w:b/>
        </w:rPr>
        <w:t>änka²</w:t>
      </w:r>
      <w:r>
        <w:rPr>
          <w:b w:val="0"/>
        </w:rPr>
        <w:t xml:space="preserve"> efter en linjeförman i telegrafverket Klas Wiklund. Makarna hade liksom i detta fall ingått äktenskap efter det att mannen nått den i reglementet stadgade åldern, efter vilken äktenskaps ingående icke medförde rätt till </w:t>
      </w:r>
      <w:r>
        <w:rPr>
          <w:b/>
        </w:rPr>
        <w:t>änkepension²</w:t>
      </w:r>
      <w:r>
        <w:rPr>
          <w:b w:val="0"/>
        </w:rPr>
        <w:t xml:space="preserve">. Visserligen fanns det ett barn, men hur gammalt det barnet var förmäla inte handlingarna. De omtala även, att barnet var i föregående äktenskap, men om detta var från mannens eller </w:t>
      </w:r>
      <w:r>
        <w:rPr>
          <w:b/>
        </w:rPr>
        <w:t>kvinnans¹</w:t>
      </w:r>
      <w:r>
        <w:rPr>
          <w:b w:val="0"/>
        </w:rPr>
        <w:t xml:space="preserve"> föregående äktenskap förmäla inte riksdagens handlingar. Den som då fick pension hade inbetalat ett belopp av 1,338 kronor till </w:t>
      </w:r>
      <w:r>
        <w:rPr>
          <w:b/>
        </w:rPr>
        <w:t>änkeoch²</w:t>
      </w:r>
      <w:r>
        <w:rPr>
          <w:b w:val="0"/>
        </w:rPr>
        <w:t xml:space="preserve"> pupillkassan, och den som jag nu talar om har till samma kassa under hela sin tid inbetalt det erforderliga beloppet, som slutar på en summa av 1,329 kronor. Detta belopn, 1,329 kronor, som alltså utlagts för pensionsändamål, var ju på den tiden, då en lärarelön i regel uppgick till högst 1,000 kronor om året, inte någon liten summa. Nyssnämnda år, 1928, bifölls ytterligare en motion om pension åt en efterlevande, där äktenskapet ingåtts efter det befattningshavaren uppnått den i reglementet bestämda högsta åldersgränsen.</w:t>
        <w:br/>
        <w:br/>
        <w:t xml:space="preserve">Jag tror, herr talman, till sist, att om i detta fall, då den av utskottet som skäl för dess avslagsyrkande åberopade principen redan för länge sedan är bruten, riksdagen skulle låta sitt goda hjärta tala, riksdagen inte skulle komma att ångra en sådan handling, därför, herr talman, att det för dessa människor på landsbygden, och i det karga Bohuslän icke minst, icke finns någonting, som så bär dem emot som att behöva anlita den allmänna fattighjälpen. Det framgår av handlingarna i detta ärende, att bouppteckningen efter mannens död 1934 anger en behållning av 2,700 kronor. Jag har förhört mig hos de kommunala myndigheterna, och det framgick därvid att det inte finnes något att beskatta utöver en till 2,000 kronor taxerad egendom. Denna egendom har </w:t>
      </w:r>
      <w:r>
        <w:rPr>
          <w:b/>
        </w:rPr>
        <w:t>änkan²</w:t>
      </w:r>
      <w:r>
        <w:rPr>
          <w:b w:val="0"/>
        </w:rPr>
        <w:t xml:space="preserve"> måst utarrendera, ty </w:t>
      </w:r>
      <w:r>
        <w:rPr>
          <w:b/>
        </w:rPr>
        <w:t>hon²</w:t>
      </w:r>
      <w:r>
        <w:rPr>
          <w:b w:val="0"/>
        </w:rPr>
        <w:t xml:space="preserve"> är nu 79 år. Det är sant, att </w:t>
      </w:r>
      <w:r>
        <w:rPr>
          <w:b/>
        </w:rPr>
        <w:t>hon²</w:t>
      </w:r>
      <w:r>
        <w:rPr>
          <w:b w:val="0"/>
        </w:rPr>
        <w:t xml:space="preserve"> får ålderspension och att vid beräkningen av tilläggspensionen behörigt avdrag kommer att göras för 70 procent av den pension, som </w:t>
      </w:r>
      <w:r>
        <w:rPr>
          <w:b/>
        </w:rPr>
        <w:t>hon²</w:t>
      </w:r>
      <w:r>
        <w:rPr>
          <w:b w:val="0"/>
        </w:rPr>
        <w:t xml:space="preserve"> skulle kunna få av riksdagen, i vad den tillsammans med vad </w:t>
      </w:r>
      <w:r>
        <w:rPr>
          <w:b/>
        </w:rPr>
        <w:t>hon²</w:t>
      </w:r>
      <w:r>
        <w:rPr>
          <w:b w:val="0"/>
        </w:rPr>
        <w:t xml:space="preserve"> därutöver kan förtjäna överstiger det i pensionslagen medgivna beloppet 300 kronor, men med den inkomst, som gumman på det sättet får, skulle </w:t>
      </w:r>
      <w:r>
        <w:rPr>
          <w:b/>
        </w:rPr>
        <w:t>hon²</w:t>
      </w:r>
      <w:r>
        <w:rPr>
          <w:b w:val="0"/>
        </w:rPr>
        <w:t xml:space="preserve"> i alla fall kunna reda sig. Och, mina herrar, om något liknande fall sedermera skulle komma inför första kammaren, skulle kammaren då kunna sovra liksom den gör denna gång och se efter, om ändamålet är behjärtansvärt.</w:t>
        <w:br/>
        <w:br/>
        <w:t>Jag hemställer, herr talman, vördsamt till kammaren om bifall till reservationen.</w:t>
      </w:r>
    </w:p>
    <w:p>
      <w:pPr>
        <w:pStyle w:val="Heading2"/>
      </w:pPr>
      <w:r>
        <w:t>2. Gustaf Ehrnberg (–, man)</w:t>
      </w:r>
    </w:p>
    <w:p>
      <w:r>
        <w:rPr>
          <w:b w:val="0"/>
        </w:rPr>
        <w:t>Det faller sig svårt att motsätta sig en så varmhjärtad vädjan till kammaren som den föregående talarens, men med lika varmhjärtade ord, som han här har använt, försökte han även att få utskottet att följa sig. Det var emellertid endast en av utskottets ledamöter, som ansåg sig kunna följa motionären.</w:t>
        <w:br/>
        <w:br/>
        <w:t xml:space="preserve">De av motionären angivna faktiska omständigheterna äro naturligtvis riktiga, men han hoppade i alla fall över den omständigheten, att vederbörande först har hos pensionsanstalten gjort framställning om en </w:t>
      </w:r>
      <w:r>
        <w:rPr>
          <w:b/>
        </w:rPr>
        <w:t>änkepension²</w:t>
      </w:r>
      <w:r>
        <w:rPr>
          <w:b w:val="0"/>
        </w:rPr>
        <w:t>, vilken</w:t>
        <w:br/>
        <w:br/>
        <w:t>Motionären omtalar nu för mig, att det icke kan ställas proposition på hans yrkande. Jag skall då här icke vidare uttala mig i sak, utan jag ber endast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819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