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2176</w:t>
      </w:r>
    </w:p>
    <w:p>
      <w:r>
        <w:rPr>
          <w:b/>
        </w:rPr>
        <w:t xml:space="preserve">Datum: </w:t>
      </w:r>
      <w:r>
        <w:t>1939-03-14</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Olovson (Socialdemokraterna, man)</w:t>
      </w:r>
    </w:p>
    <w:p>
      <w:r>
        <w:rPr>
          <w:b w:val="0"/>
        </w:rPr>
        <w:t>Herr talman! Statsrådet Möller sade, att jag hade målat; han ville antagligen ge uttryck åt den meningen, att jag hade svartmålat situationen. Det är klart, att jag gjorde så gott jag kunde; det gör han ju själv också.</w:t>
        <w:br/>
        <w:br/>
        <w:t>Herr statsrådet gjorde allt vad han kunde för att skrapa bort vad jag hade färgat. Det gick emellertid inte, och det går faktiskt inte, ty kvar stå alla de erinringar, som här gjorts. Jag måste instämma i vad herr Barnekow anförde, att om det finns bara en eller annan person någonstans i landet, som vägrar att låta undersöka sig, så kan ju befintligheten av denna person på intet sätt inverka på den kartläggning av de tuberkulossjuka, varom herr statsrådet talade.</w:t>
        <w:br/>
        <w:br/>
      </w:r>
      <w:r>
        <w:rPr>
          <w:b/>
        </w:rPr>
        <w:t>Fröken²</w:t>
      </w:r>
      <w:r>
        <w:rPr>
          <w:b w:val="0"/>
        </w:rPr>
        <w:t xml:space="preserve"> Hesselgren, som, det vet jag, förut varit utomordentligt betänksam i denna fråga — </w:t>
      </w:r>
      <w:r>
        <w:rPr>
          <w:b/>
        </w:rPr>
        <w:t>fröken²</w:t>
      </w:r>
      <w:r>
        <w:rPr>
          <w:b w:val="0"/>
        </w:rPr>
        <w:t xml:space="preserve"> Hesselgren befann sig vid ett tillfälle nästan på samma linje som jag; det erkännandet ger jag </w:t>
      </w:r>
      <w:r>
        <w:rPr>
          <w:b/>
        </w:rPr>
        <w:t>henne²</w:t>
      </w:r>
      <w:r>
        <w:rPr>
          <w:b w:val="0"/>
        </w:rPr>
        <w:t xml:space="preserve"> oförbehållsamt — har emellertid funnit trösti de ord, som återfinnas i utskottets motivering, att man måste förfara varsamt. Finns det någon av kammarens ledamöter, som ett ögonblick kan föreställa sig den möjligheten, att hälsovårdsnämnderna ute i socknarna komma att läsa andra lagutskottets motivering? Jag tror det inte, och det tror säkerligen inte </w:t>
      </w:r>
      <w:r>
        <w:rPr>
          <w:b/>
        </w:rPr>
        <w:t>fröken²</w:t>
      </w:r>
      <w:r>
        <w:rPr>
          <w:b w:val="0"/>
        </w:rPr>
        <w:t xml:space="preserve"> Hesselgren heller. Tacka Gud, om kammarens ledamöter själva läsa det.</w:t>
        <w:br/>
        <w:br/>
        <w:t>Man skulle alltså kunna handlägga sådana ärenden så diskret, menar utskottet, att det icke skulle behöva komma till omgivningens kännedom, att en person är utpekad som smittobärare. Ja, ärendet går från tjänsteläkaren eller dispensärläkaren till hälsovårdsnämnden, och hälsovårdsnämnden behandlar t. ex. den som smittobärare misstänkte Karl Johan Andersson vid ett sammanträde på kvällen, och före frukosten dagen därpå vet hela socknen det. Allt tal om diskretion och varsamhet i detta sammanhang är bara luft och har ingen som helst reell betydelse.</w:t>
        <w:br/>
        <w:br/>
      </w:r>
      <w:r>
        <w:rPr>
          <w:b/>
        </w:rPr>
        <w:t>Fröken²</w:t>
      </w:r>
      <w:r>
        <w:rPr>
          <w:b w:val="0"/>
        </w:rPr>
        <w:t xml:space="preserve"> Hesselgren framhöll också, att det numera finns många möjligheter för den sjuke att sköta sig i hemmet, utan att han alltså behöver vårdas på sanatorium. Ja, visst gör det det. Men vad har detta med den här saken att göra? Inte ett spår, ty om en person vägrar att gå till läkare men föres dit och får föreskrifter, hur han skall sköta sig hemma, så vägrar han helt naturligt även att rätta sig efter dessa. Man skulle alltså med tvångsmedel</w:t>
        <w:br/>
        <w:br/>
        <w:t>Under sådana omständigheter menar jag, att det inte finns någon anledning att befara, att så värst många skola vägra att gå till läkare. Och den som vägrar att gå till läkare är inte bara bröstsjuk, han är också, för att använda ett kanske olämpligt uttryck, sjuk i huvudet. Honom tjänar det ingenting till att bearbeta; där hjälper ingenting annat än tvångsinternering, och detta anse vi oss inte kunna vara med om.</w:t>
      </w:r>
    </w:p>
    <w:p>
      <w:pPr>
        <w:pStyle w:val="Heading2"/>
      </w:pPr>
      <w:r>
        <w:t>2. Kerstin Hesselgren (Folkpartiet, woman)</w:t>
      </w:r>
    </w:p>
    <w:p>
      <w:r>
        <w:rPr>
          <w:b w:val="0"/>
        </w:rPr>
        <w:t>Herr talman! Jag vill endast säga herr Olovson, att jag hyser mycket litet illusioner beträffande allmänhetens kännedom om utskottsutlåtanden, men i detta fall är det icke allmänheten eller hälsovårdsnämnderna, som skola läsa utskottsutlåtandet, utan det är medicinalstyrelsen, vilken därefter skall sända ut cirkulär om hur saken skall skötas.</w:t>
      </w:r>
    </w:p>
    <w:p>
      <w:pPr>
        <w:pStyle w:val="Heading2"/>
      </w:pPr>
      <w:r>
        <w:t>3. Emil Olovson (Socialdemokraterna, man)</w:t>
      </w:r>
    </w:p>
    <w:p>
      <w:r>
        <w:rPr>
          <w:b w:val="0"/>
        </w:rPr>
        <w:t xml:space="preserve">Herr talman! Vad </w:t>
      </w:r>
      <w:r>
        <w:rPr>
          <w:b/>
        </w:rPr>
        <w:t>fröken²</w:t>
      </w:r>
      <w:r>
        <w:rPr>
          <w:b w:val="0"/>
        </w:rPr>
        <w:t xml:space="preserve"> Hesselgren nu yttrade tror jag icke förbättrar saken. Jag ber att få hänvisa till att det var medicinalstyrelsen, som ville ha tvångsinternering.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