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853</w:t>
      </w:r>
    </w:p>
    <w:p>
      <w:r>
        <w:rPr>
          <w:b/>
        </w:rPr>
        <w:t xml:space="preserve">Datum: </w:t>
      </w:r>
      <w:r>
        <w:t>1939-06-10</w:t>
      </w:r>
    </w:p>
    <w:p>
      <w:r>
        <w:rPr>
          <w:b/>
        </w:rPr>
        <w:t xml:space="preserve">Kammare: </w:t>
      </w:r>
      <w:r>
        <w:t>Första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Albert Forslund (Socialdemokraterna, man)</w:t>
      </w:r>
    </w:p>
    <w:p>
      <w:r>
        <w:rPr>
          <w:b w:val="0"/>
        </w:rPr>
        <w:t>Herr talman! Med diren dispens. första kammarens tillstånd har dess ledamot herr Wistrand till mig framställt en interpellation om de grunder, som föranlett min tillstyrkan av S:s dispensansökan.</w:t>
        <w:br/>
        <w:br/>
        <w:t>Den i frågan åsyftade S. är identisk med lagerbiträdet Jarl Oskar Folke Sjöström, som den 23 mars 1938 ansökt hos polismyndigheten i Stockholm om sådant nykterhetsintyg, som avses i motorfordonsförordningens 8 20 mom. 1 c. Enär polismyndigheten ansåg sig icke böra utfärda det begärda nykterhetsintyget, vilket erfordrades för erhållande av körkort, ingav Sjöström den 5 april 1938 en till Konungen ställd skrivelse, vari Sjöström anhöll att Kungl. Maj:t av nåd täcktes frånse det faktum, att polismyndigheten icke ansett sig kunna utfärda det begärda nykterhetsintyget. Sedan överståthållarämbetet den 23 april avgivit utlåtande i ärendet, förklarade Kungl. Maj:t i resolution den 29 april, att den omständigheten att sökanden av vederbörande polismyndighet förvägrats nyssnämnda intyg icke utgjorde hinder för överståthållarämbetet att för honom utfärda körkort för förande av automobil.</w:t>
        <w:br/>
        <w:br/>
        <w:t>Enligt den vid tiden för nyssnämnda Kungl. Maj:ts beslut föreliggande utredningen hade Sjöström den 4 juni 1936 dömts att undergå straffarbete i 3 år och 1 månad för inbrottsstöld och billån i 30 fall, vilket straff av Kungl. Maj:t den 7 februari 1938 av nåd nedsatts till två år. I samband med domens avkunnande hade överståthållarämbetet genom resolution den 19 juni 1936 återkallat för Sjöström utfärdat körkort för automobil med rätt för Sjöström att 1 år efter delfåendet av ämbetets beslut efter ansökan få frågan om utfärdande av nytt körkort upptagen till prövning. Det Sjöström ådömda straffet hade sedermera såtillvida efterskänkts, att Sjöström efter att ha avtjänat ungefär 1 år och 9 månader i enlighet med fångvårdsstyrelsens tillstyrkande utlåtande den 21 mars 1938 villkorligt frigivits.</w:t>
        <w:br/>
        <w:br/>
        <w:t>Vid tiden för prövningen av Sjöströms ansökan hade sålunda tiden för körkortets indragning utgått för närmare ett år sedan och de brott, på grund av vilka körkortet indragits, begåtts för mera än 2 år tillbaka. De av Sjöström under åren 1932—1935 begångna förseelser, varom interpellanten erinrar, måste anses för prövningen av Sjöströms ansökan om dispens från skyldigheten att förete nykterhetsintyg irrelevanta. Dels stadgas i motorfordonsförordningen, att vid återkallande av körkort avseende icke må fästas vid förseelse, som begåtts mera än två år före den förseelse, som giver anledning till körkortets återkallande. Körkort hade utfärdats för Sjöström så sent som den 7 januari år 1936. Men dels hade Sjöström icke, såsom interpellanten synes förutsätta, dömts för en lång rad av fylleriförseelser. TI målet mot Sjöström 1936 hade visserligen, enligt den föreliggande utredningen,</w:t>
        <w:br/>
        <w:br/>
        <w:t xml:space="preserve">Mina motiv i övrigt för tillstyrkan av Sjöströms dispensansökan hava uteslutande varit att underlätta förverkligandet av vad som uppenbarligen måste ha avsetts med den villkorliga frigivningen. Om en för vissa förbrytelser dömd person villkorligt frigives innan straffet avtjänats, torde nämligen som grund för beslutet om frigivningen ligga dels ett antagande om den frigivnes föresats att bliva en laglydig medborgare, dels en förhoppning om den frigivnes förmåga att förverkliga denna föresats. Avsikten med frigivningen torde vara att stärka den antagna föresatsen och därigenom underlätta den frigivnes möjligheter att realisera den. Det synes mig ligga i sakens natur, att under sådana förhållanden varje den frigivnes strävan i antydd riktning bör understödjas. Utan dylikt understöd från myndigheter och enskilda bliva den frigivne fångens förutsättningar att återvinna en ställning i samhället ringa och utsikterna till återfall i brott i motsvarande mån större. Genom sin övervakares </w:t>
      </w:r>
      <w:r>
        <w:rPr>
          <w:b/>
        </w:rPr>
        <w:t>fru²</w:t>
      </w:r>
      <w:r>
        <w:rPr>
          <w:b w:val="0"/>
        </w:rPr>
        <w:t xml:space="preserve"> Else Kleens förmedling hade Sjöström erhållit arbete hos en bilfirma i Stockholm. För utförandet av det honom anförtrodda arbetet förutsattes innehav av körkort. Körkortet blev sålunda också en av förutsättningarna för Sjöström att infria de förhoppningar att sig hederligen försörja, på grund av vilka han villkorligt frigivits.</w:t>
        <w:br/>
        <w:br/>
        <w:t>Givet är, att risker för en frigiven fånges återfall i brott förefinnas. Försöken att återvinna Sjöström för ett ordnat arbete under lagliga förhållanden ha misslyckats. Men om körkorts utfärdande för Sjöström överhuvud haft något inflytande på hans förhållande till samhället, måste det ha minskat riskerna för hans återfall i brott och icke ökat dem.</w:t>
        <w:br/>
        <w:br/>
        <w:t>Härmed torde de grunder, vilka interpellanten efterlyst beträffande körkorts utfärdande för Sjöström, ha tillräckligt klargjorts. De ha i princip varit desamma, som då Kungl. Maj:t i vissa andra fall av körkortsindragningar förklarat hinder icke möta för den sökande att få frågan om körkorts utfärdande prövad före utgången av den tid, för vilken körkortet indragits, nämligen hänsynen till den sökandes möjlighet att försörja sig. Sjöströms fall företedde i detta hänseende ingen avvikelse.</w:t>
      </w:r>
    </w:p>
    <w:p>
      <w:pPr>
        <w:pStyle w:val="Heading2"/>
      </w:pPr>
      <w:r>
        <w:t>2. Karl Wistrand (Högerpartiet, man)</w:t>
      </w:r>
    </w:p>
    <w:p>
      <w:r>
        <w:rPr>
          <w:b w:val="0"/>
        </w:rPr>
        <w:t>Herr talman! Jag skall be att till herr statsrådet Forslund få framföra mitt tack för att han så här i riksdagens sista timme har besvarat en interpellation, som ju på grund av omständigheternas natur måste komma ganska sent. Att han gjort det, trots att den tid, som stått honom till buds, varit kort, är mycket tillfredsställande, och jag ser däri ett symptom på att han betraktar saken på samma sätt som jag såtillvida, att han anser, att detta förhållande verkligen varit värt att utredas inom riksdagen. Det rör sig ju om en fråga, som väckt mycket stor uppmärksamhet bland den svenska allmänheten, och jag tror, att det överensstämmer med en ganska allmänt närd önskan, att den också får ge anledning till några kommentarer.</w:t>
        <w:br/>
        <w:br/>
        <w:t>Jag skulle vilja säga, att den sak, som har föranlett min fråga, tilldrager sig intresse ur många olika aspekter. För min del vill jag klassificera dem åtminstone till fyra. Den första är det säregna i behandlingen av ärendet, som i motsats till det reguljära förfarandet — genom överklagande av överståthållarämbetets beslut hos regeringsrätten — på en mycket ovanlig väg kommit direkt under Kungl. Maj:ts prövning i statsrådet. Det är en väg, som juridiskt visserligen är fullt försvarbar, men i varje fall mycket ovanlig.</w:t>
        <w:br/>
        <w:br/>
        <w:t>Den andra synpunkten gäller lämplighetsintygens ställning i administrativ praxis. När motorfordonsförordningen uppställer stora krav på vederbörandes nykterhet och lämplighet i övrigt, är det alldeles uppenbart, att dessa krav äro tillkomna ur allmänhetens synpunkt. Det kan aldrig ha varit meningen, att de lagliga föreskrifterna om företeende av lämplighetsintyg skulle i ett så flagrant fall som detta kunna sättas ur verkan genom en dispens. Jag vågar säga detta, även om jag samtidigt naturligtvis medger, att den formella rätten till beviljande av dispens har förefunnits. Det förefaller mig nästan som en ödets ironi, att en gammal nykterhetsman som statsrådet Forslund — vilken ju dessutom 1 alldeles särskilt hög grad varit verksam för nykterhetens iakttagande Just inom trafikväsendet — har blivit den, som förordat dispens åt en person med Sjöströms föregående, vilket ju till mycket väsentlig del rör sig om förseelser på nykterhetsområdet. Det är visserligen sant, att han sista gången icke dömdes direkt för fylleriförseelse, men bland de 30 bilstölder, som han varit inblandad i, förekom ju vid tre olika tillfällen även tillgrepp av sprit, som han efteråt förtärde tillsammans med kamrater.</w:t>
        <w:br/>
        <w:br/>
        <w:t>För någon vecka sedan utdelades i riksdagen en broschyr om Alkohol och trafiksäkerhet, utgiven av centralförbundet för nykterhetsundervisning med, om jag är riktigt underrättad, bidrag av statsmedel. Samtidigt som statsmakterna sålunda lägga ned både pengar och ansträngningar på ett uppnående av en hög moralisk standard inom trafikväsendet, verka dispenser sådana som den nu debatterade i rakt motsatt riktning. Det torde väl ändå vara ovedersägligt, att om personer med Sjöströms meritlista på dispensvägen kunna befrias från att förete lämplighetsintyg — vilka skulle då, om en administrativ praxis, såsom den bör, skall uppbäras av omsorg och konsekvens, vara skyldiga att förete lämplighetsintyg? Skola skälen för Sjöströms dispens godkännas som allmängiltiga, då har man därmed också i realiteten satt motorfordonsförordningens bestämmelser ur kraft.</w:t>
        <w:br/>
        <w:br/>
        <w:t>Det är också uppenbart, att behandlingen av fallet Sjöström icke kan tänkas bli vägledande ens för den mest laxa administrativa handläggning av körkortsärenden. Vad som hundratals personer, lika beroende av körkort för sin bärgning som Sjöström, måst stillatigande finna sig i, för förseelser, som i jämförelse med Sjöströms varit relativt obetydliga, det har denne genom dispensen undsluppit, och paradoxalt nog just därför, att hans meritlista varit så graverande, att den föranlett ett långt frihetsstraff. Härmed har jag kommit in på den tredje synpunkten, som jag skulle vilja lägga på denna fråga.</w:t>
        <w:br/>
        <w:br/>
        <w:t>Man har här mer eller mindre omedvetet kommit över på en linje, där den större brottsligheten meriterar till mildare behandling än den ringare. Den humanitära omsorg om straffade, som är värd all aktning, få dock icke bedrivas på ett så, jag vågar säga, omdömeslöst sätt, att man hänger endast de små tjuvarna för att låta de stora gå. Allmänheten har rätt att uppställa krav på såväl säkerhet i trafiken som allmän rättssäkerhet, vilka den känner kränkta genom vad som 1 denna sak förekommit.</w:t>
        <w:br/>
        <w:br/>
        <w:t xml:space="preserve">Jag kommer till slut till den fjärde aspekten jag har att lägga på denna till hela sin innebörd pinsamma fråga. Det förefaller mig alldeles uppenbart, att Sjöström icke skulle kunnat nå ett så gynnsamt resultat av sina ansträngningar, om han icke haft lyckan att få som förespråkare makan till en av Konungens rådgivare. </w:t>
      </w:r>
      <w:r>
        <w:rPr>
          <w:b/>
        </w:rPr>
        <w:t>Hennes²</w:t>
      </w:r>
      <w:r>
        <w:rPr>
          <w:b w:val="0"/>
        </w:rPr>
        <w:t xml:space="preserve"> »bestämda övertygelse» det enda skäl, som </w:t>
      </w:r>
      <w:r>
        <w:rPr>
          <w:b/>
        </w:rPr>
        <w:t>hon²</w:t>
      </w:r>
      <w:r>
        <w:rPr>
          <w:b w:val="0"/>
        </w:rPr>
        <w:t xml:space="preserve"> har anfört i ärendet — har ensamt fått gälla mer än de i saken hörda myndigheterna, inklusive Stockholms stads nykterhetsnämnd. </w:t>
      </w:r>
      <w:r>
        <w:rPr>
          <w:b/>
        </w:rPr>
        <w:t>Hon²</w:t>
      </w:r>
      <w:r>
        <w:rPr>
          <w:b w:val="0"/>
        </w:rPr>
        <w:t xml:space="preserve"> har i detta ärende varit den enda, som har förordat den linje, vilken sedermera blivit Kungl. Maj:ts beslut. Det förefaller mig, att mera markant kan icke sidoinflytelsernas roll och art uppenbaras än 1 detta fall, som tyvärr icke är isolerat. Det</w:t>
        <w:br/>
        <w:br/>
        <w:t xml:space="preserve">Ang. en åt viss körkortssökande medgiven dispens. (Forts.) torde icke under generationer ha förekommit ett så tydligt exponerat sidoinflytande som det, som nu under en rad av år kommit till synes under vår nuvarande regering. Halvofficiella, av denna statsrådsfru företagna, för de intagna förhoppningsingivande, men för personalen och disciplinen nedbrytande inspektioner av skyddshem och straffanstalter med därefter följande reklammässiga efterspel ha givit klientelet vid dessa intrycket av att hänvändelser till </w:t>
      </w:r>
      <w:r>
        <w:rPr>
          <w:b/>
        </w:rPr>
        <w:t>henne²</w:t>
      </w:r>
      <w:r>
        <w:rPr>
          <w:b w:val="0"/>
        </w:rPr>
        <w:t xml:space="preserve"> vore vägen att nå vad som eljest låge utom möjligheternas gränser. Denna verksamhet må tänkas ledd av goda och renhjärtade motiv; den har emellertid fått former, som enligt min bestämda mening göra dess stävjande till en plikt för regeringen, därför att den innebär ett öppet åsidosättande av principer, som bära upp vår rättsordning. En av de viktigaste av dessa principer är, att till Kungl. Maj:ts beslut leda icke för någon medborgare andra vägar än genom de ansvariga instanserna. 1809 års grundlagsstiftare gåvo uttryck för denna uppfattning i konstitutionsutskottets memorial till 1809 års regeringsform, där det heter, att Konungens beslut »kunna icke förhastat fattas, icke bestämmas efter ensidiga underrättelser och råd av dolda personer utan ansvarighet». Denna grundsats gäller hela vår svenska förvaltning, över vars integritet vi med rätta äro stolta och som har en betydelse, långt större än mången gjort klart för sig. Vår författning känner ingen skillnad mellan protegerade och icke protegerade medborgare. Varje antydan härtill är främmande för hela vår sinnesart, och vårt statsskick vet ej av genvägar eller sjäkvgjorda justitieombudsmän.</w:t>
        <w:br/>
        <w:br/>
        <w:t>Jag hoppas, herr talman, att det skall vara sista gången på mycket länge som vi i Sveriges riksdag skola nödgas till diskussion och behandling taga upp en fråga av denna art.</w:t>
      </w:r>
    </w:p>
    <w:p>
      <w:pPr>
        <w:pStyle w:val="Heading2"/>
      </w:pPr>
      <w:r>
        <w:t>3. Per Edvin Sköld (Socialdemokraterna, man)</w:t>
      </w:r>
    </w:p>
    <w:p>
      <w:r>
        <w:rPr>
          <w:b w:val="0"/>
        </w:rPr>
        <w:t>Herr talman! Jag begärde inte ordet för att säga det, som jag nu till en början säger. Jag skulle vilja uttala, att det borde dröja mycket länge, innan en sådan oförskämdhet — förlåt att jag begagnar det uttrycket — framföres i Sveriges riksdag som den herr Wistrand i slutet av sitt anförande gjorde sig skyldig till.</w:t>
        <w:br/>
        <w:br/>
        <w:t>Herr Wistrand vill göra gällande, att regeringens åtgörande i det föreliggande fallet liksom i andra varit beroende av inflytelser från makan till en av statsrådets ledamöter. Härför har herr Wistrand intet bevis. Herr Wistrand kan på intet sätt styrka, att utfallet av detta eller andra mål varit beroende av ett sådant inflytande.</w:t>
        <w:br/>
        <w:br/>
        <w:t xml:space="preserve">Det är väl så här i livet, att många människor på olika sätt försöka göra sitt inflytande gällande, och det förekommer väl också, att </w:t>
      </w:r>
      <w:r>
        <w:rPr>
          <w:b/>
        </w:rPr>
        <w:t>hustrur²</w:t>
      </w:r>
      <w:r>
        <w:rPr>
          <w:b w:val="0"/>
        </w:rPr>
        <w:t xml:space="preserve"> till män i offentlig ställning göra sådana försök. Somliga göra det kanske tyst och stilla, i lönnrum, andra välja en form, som tar sig ostentativa, offentliga uttryck. Men därför att så i detta fall kan ha skett, följer icke, att statsrådets ledamöter ha tagit intryck av sådana försök till inflytelser. Jag måste säga, att det är oförsynt av herr Wistrand att rikta en sådan anklagelse mot regeringens ledamöter.</w:t>
        <w:br/>
        <w:br/>
        <w:t>Anledningen till att jag tar till orda i denna fråga är i stället den, att jag kanske var en av de första, som i konselj föreslog Kungl. Maj:t att följa en praxis, varuti fallet Sjöström endast är ett led. Jag gjorde det, trots att jag också är gammal nykterhetsman, herr Wistrand, och jag kan relatera det av mig åsyftade fallet. En person, som förut hade försörjt sig som chaufför, hade blivit dömd för egendomsbrott, berövats sitt körkort och efter utståndet straff åter kommit ut i förvärvsarbete. Han hade blivit erbjuden en anställ-</w:t>
        <w:br/>
        <w:br/>
        <w:t>Ang. en åt viss körkortssökande medgiven dispens. (Forts.) ning som privatchaufför. Han kunde inte få lämplighetsintyg, därför att han nyss hade undergått frihetsstraff, alldeles som i detta fall. Han fick sitt körkort på min föredragning, ty det måste väl ändå vara så, att om en från straff frigiven fånge skall kunna återvinnas åt samhället, får väl också samhället se på dessa människors strävan med billighet.</w:t>
        <w:br/>
        <w:br/>
        <w:t>Det är ju egentligen alldeles detsamma som har skett i detta fall. Mannen var icke dömd för missbruk av starka drycker i samband med bilkörning. Den tidpunkt, vid vilken hans körkort indrogs, låg över två år tillbaka. Motorfordonsförordningen begär icke längre respittid. Han kunde icke få lämplighetsintyg på grund av frihetsstraffet. Han hade fått anställning i en bransch, där körkort erfordrades. Jag försäkrar, att Kungl. Maj:ts beslut i detta mål skulle blivit alldeles detsamma, oavsett vem som varit övervakare, oavsett om här hade funnits någon tillskyndare, som stod statsråden nära eller ej. Därför är herr Wistrands insinuation på den punkten också oriktig.</w:t>
        <w:br/>
        <w:br/>
        <w:t>Det är följaktligen icke så, att Sjöström har behandlats mildare än andra. Han har behandlats så som vi inom regeringen på senare år ansett, att man bör förfara i dylika fall. Han har icke behandlats mildare än personer, som varit dömda till lindrigare straff. Det framgår ju av hela interpellationssvaret, att här voro i avseende på motorfordonsförordningens bestämmelser strängare villkor uppfyllda, än som i allmänhet fordras.</w:t>
        <w:br/>
        <w:br/>
        <w:t>Jag vill blott till sist också säga, att här icke inaugurerats någon säregen administrativ praxis. Det kan väl vara så, att en normalt formalistisk och ur förvaltningsrättslig synpunkt kanske riktig väg är att begära sin rätt hos den myndighet, som står närmast till, för att därefter klaga hos Kungl. Maj:t. Men envar vet ju, att svenska folket i gemen anser sig ha rätt att gå direkt till Kungl. Maj:t, och det förekommer ständigt fall, där man med förbigående av underinstanser går direkt till Kungl. Maj:t och där underinstansens beslut ersättes av yttrande från denna instans. Det sker i hundratals fa'l varje år, och alla veta, att det är en normal företeelse.</w:t>
        <w:br/>
        <w:br/>
        <w:t>Jag finner alltså, att alla de fyra punkter, som herr Wistrand här framförde, sakna bärande grund.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853</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