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2217</w:t>
      </w:r>
    </w:p>
    <w:p>
      <w:r>
        <w:rPr>
          <w:b/>
        </w:rPr>
        <w:t xml:space="preserve">Datum: </w:t>
      </w:r>
      <w:r>
        <w:t>1940-04-16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Björn Frithiofsson Holmgren (Högerns riksdagsgrupp, man)</w:t>
      </w:r>
    </w:p>
    <w:p>
      <w:r>
        <w:rPr>
          <w:b w:val="0"/>
        </w:rPr>
        <w:t>Herr talman! När vårt land är i fara, måste vi ställa de allra största krav på samhällssolidariteten bland alla dess medborgare. Jag kan ej finna, att det vittnar om solidaritet, då man vare sig av religiösa eller etiska samvetsbetänkligheter undandrager sig en medborgares kanske främsta plikt, nämligen att försvara sitt land, då det råkat i fara.</w:t>
        <w:br/>
        <w:br/>
        <w:t>När jag var statsrevisor, var jag i tillfälle att se de etiskt samvetsömma på närmare håll, och jag fick ett starkt intryck av att bland dem en betydande mängd inte voro så värst plågade av sitt samvete, utan de hade i stället skjutit fram sin etiska uppfattning som en sköld för att bakom denna gömma sig undan besvärliga plikter. Jag tror, att de som samtidigt med mig voro statsrevisorer samtliga åtminstone funno, att det ej var så väl beställt inom denna kategori, som man kunnat önska.</w:t>
        <w:br/>
        <w:br/>
        <w:t xml:space="preserve">Jag är övertygad om att det både bland kommunister och nazister finnas många idealister, att t. ex. en kommunist skulle komma i samvetsnöd, om han bleve beordrad att resa livsfarligt vapen mot sina vänner inom den kommunistiska sovjetrepublikens krigsmakt — han kanske gillar deras metoder att beskjuta </w:t>
      </w:r>
      <w:r>
        <w:rPr>
          <w:b/>
        </w:rPr>
        <w:t>kvinnor¹</w:t>
      </w:r>
      <w:r>
        <w:rPr>
          <w:b w:val="0"/>
        </w:rPr>
        <w:t xml:space="preserve"> och barn — att en nazist t. ex., en fullblodsidealist, som kanske har som sin dröm här i livet att få gå omkring i stövlar och brun skjorta och uniform, att få marschera i trupp och lyda order, skulle råka i samvetsnöd inför nödvändigheten att rikta vapen mot sina höga förebilder, därest vi, det Gud förbjude, skulle råka i konflikt med vår södra granne. Jag menar, att dessa kategorier ha lika stor rätt att få sin etiska uppfattning respekterad som väl någonsin de etiskt samvetsömma ha. Jag kan alls icke se någon skillnad därvidlag, utan jag är bestämd motståndare till alla undantagslagar i detta avseende utom möjligen för de religiöst samvetsömma — jag säger möjligen och stryker under det med två streck.</w:t>
        <w:br/>
        <w:br/>
        <w:t>Likvisst ha herr Liedberg och jag i vår motion nr 82 i denna kammare icke yrkat på upphävande av de nu gällande lagarna, men vi ha yrkat på åtgärder,</w:t>
        <w:br/>
        <w:br/>
        <w:t>som tvivelsutan äro ägnade att minska antalet samvetsömma. Vi ha föreslagit, att denna kategori värnpliktiga skulle placeras på utsatta platser men likväl icke fullgöra annat arbete än som borde vara för dem synnerligen tilltalande i övrigt, nämligen att hela de sår, som kriget slår, t. ex. att undanröja minor, som eljest skulle skada fartyg och säkerligen kräva människoliv, eller att t. ex. i den främre eldlinjen hämta de sårade, så att de kunna få nödig omvårdnad.</w:t>
        <w:br/>
        <w:br/>
        <w:t>Nu kan det förefalla, som om vår avsikt vore att onödigt pressa dessa människor, att liksom hämnas på dem. Så är ingalunda fallet. Vi få tänka på att detta är arbete, som under alla förhållanden måste utföras — göres det således inte av samvetsömma, måste det göras av våra vapenövade värnpliktiga. Om man skulle använda de samvetsömma för dessa uppgifter, frigjordes automatiskt för försvaret värdefulla element. Vi skulle sålunda öka gevären i skyttelinjerna till lika stort antal som antalet samvetsömma, som vi använde på sätt Jag nämnde.</w:t>
        <w:br/>
        <w:br/>
        <w:t>I dessa tider måste var och en göra den insats, som kräves av honom. Det blir ingen sambhällssolidaritet, om den ene skall behandlas på ett sätt och den andre på ett annat. När vi åtnjuta förmånerna av att få leva i vårt Sverige, skola vi också påtaga oss de förpliktelser, som följa därmed. Herr talman, det är just i denna samhällssolidaritets namn, som jag yrkar bifall till motionen II: 82. I övrigt instämmer jag i det yrkande, som nyss reservationsvis framfördes av herr Sandström.</w:t>
      </w:r>
    </w:p>
    <w:p>
      <w:pPr>
        <w:pStyle w:val="Heading2"/>
      </w:pPr>
      <w:r>
        <w:t>2. Ernst Hage (Socialdemokraterna, man)</w:t>
      </w:r>
    </w:p>
    <w:p>
      <w:r>
        <w:rPr>
          <w:b w:val="0"/>
        </w:rPr>
        <w:t>Herr talman! Med all respekt för herr Holmgrens kunskaper på detta område vill jag säga, att jag har mycket svårt att tro, att de, som det här är fråga om, lämpa sig för den ganska farliga sysselsättningen att desarmera minor. Från den utgångspunkten har också utskottet enhälligt avstyrkt herr Holmgrens motion.</w:t>
        <w:br/>
        <w:br/>
        <w:t>Beträffande frågan i övrigt kan jag fatta mig kort. Det rör sig om mycket ringa ändringar i nu gällande bestämmelser. De gå endast ut på att sådana samvetsömma, som inte under några förhållanden vilja taga befattning med militär tjänstgöring — inte ens t. ex. bortförande av avskräde från militärförläggning — skola kunna antingen få syssla med civilt arbete inom eller utom en militär organisation. Nu kommer det alltjämt att behövas folk för civilt arbete utom dessa organisationer, så det finns säkerligen möjlighet att även efter de nu föreslagna ändringarna låta de samvetsömma syssla med civilt arbete inom icke militära organisationer. Det har också utskottet påpekat i sin motivering, och när så är fallet, måste jag säga, att skillnaden mellan de bestämmelser, som hittills ha existerat, och de nu kommande är mycket ringa. Med hänsyn härtill kan jag yrka bifall till utskottets förslag.</w:t>
        <w:br/>
        <w:br/>
        <w:t xml:space="preserve">Härutöver vill jag säga, att vad som i detta sammanhang framförts om att man skulle göra skillnad mellan den samvetsömhet, som grundar sig på religiösa skäl, och den, som grundar sig på etisk uppfattning, har jag aldrig kunnat ansluta mig till. Om en människa kommer till en viss livsåskådning, vare sig detta sker på religiös väg eller på etisk eller filosofisk väg — hur jag nu skall kalla det — så bör </w:t>
      </w:r>
      <w:r>
        <w:rPr>
          <w:b/>
        </w:rPr>
        <w:t>hennes²</w:t>
      </w:r>
      <w:r>
        <w:rPr>
          <w:b w:val="0"/>
        </w:rPr>
        <w:t xml:space="preserve"> uppfattning respekteras eller icke respekteras 1 lika hög grad. Det är min principiella uppfattning och sådan är också Kungl. Maj:ts uppfattning, som ligger till grund för denna proposition.</w:t>
        <w:br/>
        <w:br/>
        <w:t>Alla veta, att antalet samvetsömma är ganska ringa, och det blir allt mindre och mindre. Skulle emellertid antalet — detta är enbart en teoretisk spekulation — stiga på ett våldsamt sätt i en tid som den nuvarande, då är jag inte säker på, att jag skulle vilja vara med om samma medgivande, som jag hittills gått med på inom detta område, ty då kunde det i en situation som den rådande</w:t>
        <w:br/>
        <w:br/>
        <w:t>inträffa katastrofer för vårt land; men det är, som sagt, bara en rent teoretisk spekulation. Faktum är att de människor det här är fråga om äro få till antalet, och de bli färre och färre, och under sådana förhållanden kan man visa en viss generositet, när man lagstiftar på området.</w:t>
        <w:br/>
        <w:br/>
        <w:t>Från dessa utgångspunkter, herr talman, ber jag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2217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