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2223</w:t>
      </w:r>
    </w:p>
    <w:p>
      <w:r>
        <w:rPr>
          <w:b/>
        </w:rPr>
        <w:t xml:space="preserve">Datum: </w:t>
      </w:r>
      <w:r>
        <w:t>1940-06-08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Solveig Rönn Christiansson (Vänsterpartiet, woman)</w:t>
      </w:r>
    </w:p>
    <w:p>
      <w:r>
        <w:rPr>
          <w:b w:val="0"/>
        </w:rPr>
        <w:t>Herr talman! Herrar högermän ha i debatten uppträtt med brösttoner, något som jag anser minst sagt olämpligt, då de själva sitta i glashus.</w:t>
        <w:br/>
        <w:br/>
        <w:t>En replik till herr Nilsson i Göteborg. Herr Nilsson är både göteborgare och socialdemokrat, vilket i och för sig är ett bekymmer. Men herr Nilsson har även i annan riktning bekymmer, som är värt beaktande. Jag syftar på, att vad man nu i dag ämnar lagstifta om även kan komma att rikta sig mot hans parti. Herr Nilsson i Göteborg drog icke de rätta konklusionerna av sin historieskrivning beträffande nazismen och vad som försiggått i Tyskland. Han glömde bort att socialdemokratien i Tyskland gjorde vad den kunde för att slå ned kommunisterna och den radikala arbetarrörelsen. Den tyska socialdemokratien har ingenting att förebrå sig därvidlag. För att vara logisk borde man ju också då kunna säga, att herr Nilsson vore tacksam för den illegala tyska kommunistiska verksamheten.</w:t>
        <w:br/>
        <w:br/>
        <w:t>Herr Hedlund i Östersund har fått påskrivet för att han skvallrade ur skolan. Hans replik till herr Nordström avsåg, förmodar jag, att vinna tillbaka en viss del av den förlorade prestigen, men denna herr Hedlunds replik stod på samma låga nivå som hans anförande för en tid sedan, då han talade om sidenbältena.</w:t>
        <w:br/>
        <w:br/>
        <w:t xml:space="preserve">Facit av årets riksdag skulle kunna sammanfattas i följande: Man har beskurit de sociala reformerna, d. v. s. man har beskurit anslaget till </w:t>
      </w:r>
      <w:r>
        <w:rPr>
          <w:b/>
        </w:rPr>
        <w:t>mödrahjälp²</w:t>
      </w:r>
      <w:r>
        <w:rPr>
          <w:b w:val="0"/>
        </w:rPr>
        <w:t xml:space="preserve">, man har slopat arbetstidslagen och arbetarskyddet för </w:t>
      </w:r>
      <w:r>
        <w:rPr>
          <w:b/>
        </w:rPr>
        <w:t>kvinnorna¹</w:t>
      </w:r>
      <w:r>
        <w:rPr>
          <w:b w:val="0"/>
        </w:rPr>
        <w:t>, man har stiftat nya klasslagar, tjänstepliktslagen, och slutligen föreslagit speciella lagar mot den radikala arbetarrörelsen. Det är en sådan lagstiftning, som i dag skall stadfästas. Och vad har man då att förebrå det kommunistiska partiet?</w:t>
        <w:br/>
        <w:br/>
        <w:t>Vår utrikespolitik har varit: fred åt Sveriges folk. Vår inrikespolitik innebär, att de breda fattiga folklagrens existensmöjligheter icke ytterligare skola beskäras. Det är alltså vår linje, utrikesoch inrikespolitiskt, och för detta skall man förbjuda det enda parti, som har 3,000 poliser till vittne på att det inte har någon som helst landsförrädisk verksamhet. Högern kan gå ut till väljarna i årets valrörelse och tala om för dem, hur duktigt partiet har varit under riksdagen och vad det lyckats åstadkomma — saker och ting, som man tidigare inte har drömt om skulle kunna gå i verkställighet. Men till sin hjälp har det också haft socialdemokraterna, som alltså fått spela denna ganska föraktliga roll.</w:t>
        <w:br/>
        <w:br/>
        <w:t>Jag är medveten om, att vad vi kommunister här säga, icke vinner gehör. Men jag har velat säga detta, när man i dag går till attack mot det parti, som</w:t>
        <w:br/>
        <w:br/>
        <w:t>. (Forts.) jag representerar. De representanter för socialdemokraterna, som ha säte och stämma i denna kammare, ha varken förmåga, energi eller mod att gå emot den likriktningens anda, som nu går att förverkligas.</w:t>
      </w:r>
    </w:p>
    <w:p>
      <w:pPr>
        <w:pStyle w:val="Heading2"/>
      </w:pPr>
      <w:r>
        <w:t>2. Ewald Lindmark (–, man)</w:t>
      </w:r>
    </w:p>
    <w:p>
      <w:r>
        <w:rPr>
          <w:b w:val="0"/>
        </w:rPr>
        <w:t>Herr talman! Det har sina risker att göra uttalanden även i riksdagen. Herr Hedlund uttalade i sitt första anförande här i dag, att första delen av 1 8 endast riktar sig mot kommunisterna. Men herr Hedlund underlät att tala om, att den senare delen av första stycket utvidgar möjligheten att omfatta dem man vill nå på ett sådant sätt, att man icke endast därmed kan inbegripa nazisterna utan vilket eventuellt förefintligt statsfientligt parti som helst. På grund av detta uttalande av herr Hedlund, som var alltför ensidigt, fick herr Nilsson i Göteborg anledring att tala om, att detta lagförslag endast siktar till eller åtminstone endast träffar kommunisterna. Här gör herr Nilsson en beskyllning först och främst mot Kungl. Maj:t att Kungl. Maj:t skulle ha varit så ensidig. Och herr Nilsson grundar sitt anförande på herr Hedlunds uttalande!</w:t>
        <w:br/>
        <w:br/>
        <w:t>Jag är säker på att det behöver icke betygas, att Kungl. Maj:t i detta fall försökt att vara neutral, då det gäller att inrikta lagstiftningen mot olika sammanslutningar. Men för att icke det skall finnas det minsta skäl till tvekan härutinnan har första lagutskottet försökt att genom en omformulering göra det möjligt att få med även andra tänkta sammanslutningar av samhällsskadlig natur. Jag anser det vara nödvändigt att gentemot herr Nilsson anföra detta till protokollet, så att det icke skall stå alldeles oemotsagt.</w:t>
        <w:br/>
        <w:br/>
        <w:t xml:space="preserve">Men så har jag ett ord att säga till herrar kommunister. Det var en ganska intressant samling av uttalanden, som gjorts från detta håll. Herr Hagberg påstår: Det vare långt ifrån mig att jag skulle vilja rikets skada!, och herr Senander fällde nyss uttrycket: Vi kommunister vilja vinna folkets flertal, och ingen skall kalla oss för ett våldsparti! Och slutligen var det </w:t>
      </w:r>
      <w:r>
        <w:rPr>
          <w:b/>
        </w:rPr>
        <w:t>fru²</w:t>
      </w:r>
      <w:r>
        <w:rPr>
          <w:b w:val="0"/>
        </w:rPr>
        <w:t xml:space="preserve"> Rönn- Christiansson, som påstod: Vi vilja fred, vi vilja svenska folkets lycka! — detta sista är inte ordagrant återgivet men en sammanfattning av vad som är sagt.</w:t>
        <w:br/>
        <w:br/>
        <w:t>Detta ger mig anledning att något blotta, vad det kammunistiska partiet vill enligt sina stadgar. Jag skall be att få besvära kammaren att lyssna härtill och att rum gives i protokollet till tjänst för kommande tiders forskning i handlingarna. Det gäller Sveriges kommunistiska parti, som är så fredligt och så utomordentligt som här har sagts!</w:t>
        <w:br/>
        <w:br/>
        <w:t>När det gäller kommunisternas mål heter det i deras stadgar: »Såsom ledare och organisatör av proletariatets världsrevolutionerande rörelse och som försvarare av kommunismens grundsatser och syftemål strävar den kommunistiska internationalen efter att vinna den arbetande klassens flertal samt småbrukarnas och egnahemsägarnas breda lager, kämpar för att fastställa proletariatets världsdiktatoriska myndighet, för grundandet av en världsunion av socialistiska sovjetrepubliker, för ”klassernas” fullständiga utplånande samt för förverkligandet av socialismen — det första steget till det kommunistiska samhället.»</w:t>
        <w:br/>
        <w:br/>
        <w:t>Detta är direkt citat. Det närmaste målet är sålunda åvägabringandet av proletariatets diktatur. Nu skall jag också något angiva vägarna och sättet för att nå detta mål. Det heter därom i den VI:e världskongressens uttalande: »Vid bestämmandet av den lämpligaste taktiken måste varje kommunistiskt parti taga hänsyn till det givna yttre och inre läget, graden av bourgeoisiens fasthet och styrka, graden av proletariatets kampberedskap, mellanskiktens hållning o. s. v. Vid bestämmandet av sin lösen och sitt</w:t>
        <w:br/>
        <w:br/>
        <w:t>program må partiet aldrig glömma, att slutmålet är maktens erövring och det borgerligt-kapitalistiska samhällets störtande.»</w:t>
        <w:br/>
        <w:br/>
        <w:t>Jag skall citera ett par punkter till. När det gäller rörelsens inställning till: den demokratiska samhällsuppfattningen heter det bland annat: »I allt sitt arbete, såsom ledare av revolutionära uppror, såsom organisatör av hemligt arbetande grupper, såsom &lt;fackföreningssekreterare, såsom agitator på massmöten eller såsom deputerad, som föreningsman eller som barrikadkämpe förblir kommunisten sig själv, den disciplinerade medlemmen av det kommunistiska partiet, den osjälviske kämpen och dödsfienden till det borgerliga samhället med dess ekonomiska grundvalar, dess statliga form, dess demokratiska ställning, dess religion och dess moral, han är den offervilligaste soldaten i proletärrevolutionen och den nya ordningens rastlöse apostel.»</w:t>
        <w:br/>
        <w:br/>
        <w:t>Överhuvud taget, förkunnas det, ha arbetarna inga plikter mot det borgerliga samhället utan endast mot sin klass och sitt andliga fosterland, Sovjetunionen. Där ha vi väl det verkliga fosterlandet! Fosterlandskärleken är naturligtvis kärleken till Sovjetunionen! I VI:e världskongressens program anföres härom bland annat följande: »Det internationella proletariatet, som i Sovjetunionen har sitt enda fosterland, är förpliktigat att understödja den socialistiska samhällsordningen i Sovjetunionen och att med alla medel försvara den proletära diktaturens land mot övergrepp från de kapitalistiska staterna. Därest de imperialistiska staterna överfalla Sovjetunionen med krig, måste det internationella proletariatets svar bliva djärva och energiska massaktioner i och för störtande av de imperialistiska regeringarna och för upprättande av proletariatets diktatur och förbund med Sovjetunionen.»</w:t>
        <w:br/>
        <w:br/>
        <w:t>Jag har i all hast gjort ett fåtal citat ur denna redogörelse för vad det kommunistiska partiet är. Det finns andra, ännu djärvare uttalanden, som Jag emellertid i hastigheten inte har kunnat utvälja. Tydligt och klart är, att partiet är ett våldsparti. Det är icke detta fredliga parti, som talarna inom det kommunistiska partiet ha givit sig ut för att tillhöra. Deras fosterland är icke Sverige, deras mål är icke Sveriges lycka och fred utan samhällets omstörtande. Om det också skulle vara en lagstiftning, som ensidigt vore riktad mot det kommunistiska partiet, vore det anledning nog att antaga en sådan lag.</w:t>
        <w:br/>
        <w:br/>
        <w:t>Nu är det dock så, dess bättre, att lagen syftar åt alla håll, är inriktad att gälla alla de olika sammanslutningar, som kunna ha till syfte att skada riket. Vi ha redan vid detta års riksdag antagit lagändringar och tillägg till 8 kap. strafflagen. Det gäller en lagstiftning, som skall träffa de enskilda landsförrädarna. Med den lagstiftning, som vi i dag gå att besluta, vilja vi träffa sammanslutningar, som ha samma syfte till mål.</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