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w:t>
      </w:r>
    </w:p>
    <w:p>
      <w:r>
        <w:rPr>
          <w:b/>
        </w:rPr>
        <w:t xml:space="preserve">Datum: </w:t>
      </w:r>
      <w:r>
        <w:t>1900-03-07</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Henrik Cavalli (Första kammarens protektionistiska parti, man)</w:t>
      </w:r>
    </w:p>
    <w:p>
      <w:r>
        <w:rPr>
          <w:b w:val="0"/>
        </w:rPr>
        <w:t>Det är icke angenämt att efter ett sådant anförande, som den siste talarens, nödgas återföra kammaren till hvad det nu egentligen gäller, nemligen en enkel skattefråga. Då jag dock nödgas göra detta, är jag öfvertygad om, att kammaren ingalunda skall finna hvad jag kan hafva att säga vara så intressant, som den siste ärade talarens yttrande, men det kan icke fela — och den siste ärade talaren skall säkerligen bäst inse det sjelf — att hans anförande måste väcka gensagor, och gensagor af flerahanda slag. Så har han bland annat talat om, att i händelse en stiftelse, som han väl känner och hvars välgörande syfte jag är den förste att erkänna, fått betala stämpel för vissa, redan erhållna donationer, skulle den hafva fått</w:t>
        <w:br/>
        <w:br/>
        <w:t>erlägga omkring 15,000 kronor. Det lät, som om stiftelsen lyckats Ändringar i</w:t>
        <w:br/>
        <w:br/>
        <w:t>undandraga sig detta, men det hade varit bättre, om motionären talat fullt ut och således redogjort för det sätt, hvarpå med nu gällande -.;</w:t>
        <w:br/>
        <w:br/>
        <w:t>bestämmelser något dylikt kunnat utan att bryta mot lagen ega rum.</w:t>
        <w:br/>
        <w:br/>
        <w:t>Han har vidare framhållit, att de konseqvenser, hvarom bevillningsutskottet talar, icke äro i stämpelförordningen särdeles väl iakttagna, och han anförde såsom bevis derpå, att enligt första artikeln frihet förekomme i åtskilliga fall från stämpel, medan enligt den andra stämpelfrihet icke förekomme. Men han underlät at redogöra för rubrikerna till dessa båda artiklar, som handla om helt olika saker. Den första artikeln gäller stämpel till statsmyndigheternas expeditioner och den andra stämpel till enskilda handlingar. Det ligger ju i öppen dag att olika bestämmelser måste gälla i dessa hänseenden. Jag talar icke om att kronan är fri från stämpel, ty det är ju likgiltigt, om kronan betalar till sig sjelf eller icke, men det är klart, att helt andra bestämmelser måste gälla myndigheters utgående expeditioner än enskilda handlingar, till hvilka sistnämnda handlingar, rörande donationer till fromma stiftelser, höra.</w:t>
        <w:br/>
        <w:br/>
        <w:t xml:space="preserve">Den ärade talaren sökte — och jag föreställer mig äfven, att han ansåg sig deri hafva lyckats — framställa bevis för det upprörande behandlingssätt, som en from stiftelse, med bibehållande af bestämmelserna i nu gällande stämpelförordning, vore underkastad derigenom att den skulle erlägga stämpelafgift för en donation. Men det är så långt ifrån, att detta är rigtigt, att just motsatsen eger rum. Ett bifall till motionen skulle nemligen medföra ett resultat, som jag lättast åskådliggör genom ett exempel. En person dör och efterlemnar en ringa förmögenhet, låtom oss säga 10,000 kronor. Utaf detta förordnar han, att en del, t. ex. hälften, skall gå till den efterlefvande </w:t>
      </w:r>
      <w:r>
        <w:rPr>
          <w:b/>
        </w:rPr>
        <w:t>hustrun²</w:t>
      </w:r>
      <w:r>
        <w:rPr>
          <w:b w:val="0"/>
        </w:rPr>
        <w:t xml:space="preserve"> och återstoden till en inrättning, som den ärade motionären icke bestrider, att den är en from stiftelse, nemligen allmänna barnhuset. Under förutsättning af bifall till motionen kommer nu enkan att för sitt lilla arf af 5,000 kronor få betala stämpel, under det att allmänna barnhusinrättningen varder fri derifrån, och denna inrättning har dock, efter hvad som inhemtas af statsrevisorernas senast afgifna berättelse, enligt bokslutet kontanta medel till belopp af 59,092 kronor 77 öre, utlånta medel 3,593,105 kronor 90 öre, fordringar 49,234 kronor 76 öre, fastigheter till värde af 2,103,841 kronor 68 öre samt lös egendom beräknad till 141,166 kronor 98 öre, tillhopa i rundt tal 5,946,000 kronor. Kan någon säga, att detta är rättvist? Nej! Men man säger, att skatten kan trots detta efterskänkas. Ja, det kan ske, men icke är det derföre rättvist. Det är för resten vid all skatt af detta slag att ihågkomma, att staten inträder såsom samarfvinge med den, som får ärfva en afliden person, och att det arf, som tillfaller arfvingen eller den som får donationen, framträder, först sedan staten fått sitt.</w:t>
        <w:br/>
        <w:br/>
        <w:t>Den ärade talaren sökte vidare framhålla, hvilken orättvisa som skulle ligga deri, att dovationer, som gåfves till bland annat religiösa ändamål, blefve stämpelbelagda. Men jag vågar vädja till den ärade talaren sjelf, huruvida han skulle finna det lämpligt, att i händelse</w:t>
        <w:br/>
        <w:br/>
        <w:t>en rik man donerade ett eller annat hundratusental kronor till exempelvis ett sällskap, som hade till uppgift att befrämja den katolska läran här i landet, denna donation skulle vara stämpelfri? Att detta är ett religiöst ändamål kan icke bestridas, och enligt hans förslag måste hvarje donation, gifven till ett religiöst ändamål, vara fri från stämpel. Jag vill äfven mot den ärade talarens motivering, att det är staten ovärdigt att fråntaga fromma stiftelser icke obetydliga delar af de gåfvor, som enskilda skänkt dem, i synnerhet som omförmälda stiftelser på ett erkännansvärdt sätt fylde sin uppgift, framhålla, att derför att stiftelserna väl fylla sin uppgift det icke deraf följer, att sjelfva deras uppgift är lika värd erkännande, och jag har redan anfört exempel härpå.</w:t>
        <w:br/>
        <w:br/>
        <w:t>Den ärade motionären framhöll än vidare, att gåfvor icke inflöte till välgörande ändamål på grund af förordningen om stämpel för dessa gåfvor, och han förklarade sig känna exempel härpå. Det är ju möjligt, men då den ärade talaren af det förhållande, att underlåtenhet att belägga en gåfvoafhandling med stämpel är belagd med bötesstraft, drog den slutsatsen, att det är sjelfva gifvandet, som konstituerar den brottsliga handlingen, så tror jag, att han kan frångå den ståndpunkten, ty af hans påstående följer sådana konseqvenser som att utställandet af en vexel är belagdt med straff och icke underlåtenheten att belägga den med stämpel.</w:t>
        <w:br/>
        <w:br/>
        <w:t>Jag skall icke längre upptaga kammarens tid, men ett par ord vill jag dock tillägga.</w:t>
        <w:br/>
        <w:br/>
        <w:t>Det har med afseende å arfsskatten framhållits, att förordningen derom gjorde det svårt för domare att veta, huruvida stämpel skulle åsättas eller icke, och att han derigenom skulle vid många tillfällen komma i den obehagliga belägenhet, att i tvifvelaktiga fall nödgas affordra ett stämpelbelopp, om hvars berättigande han icke var fullt på det klara. Det kan ju vara möjligt, men hvad som är säkert är, att om sådana fall förekommit förut, så har man genom att insätta det nu ifrågavarande momentet i stämpelförordningen ökat deras antal, ty det är mycket ofta oklart hvad som menas med en "from stiftelse”. Motionären har nu slagit till reträtt från motionen och öfvergått till det förslag, som innefattas i en betänkandet vidfogad reservation af grefve Hamilton, och yrkat bifall till denna, som afser att ställa fromma stiftelser i samma ställning, som arfvingar i första klassen, d. v. s. med den lägsta skattesatsen; och man har sagt, att man derigenom så mycket som möjligt ansluter sig till hvad som före år 1894 var fallet. Jag erinrar dock att före år 1894 funnos två klasser och dessa båda klasser har man nu slagit tillsammans till en. Det torde derför blifva svårt för den siste ärade talaren, som förebrådde gällande förordning för inkonseqvens, att påvisa, att man nu genom bifall till hans yrkande vinner i konseqvens. Tvärtom, man aflägsnar sig från konseqvensen. Jag beder att få yrka bifall till utskottets hemställan.</w:t>
      </w:r>
    </w:p>
    <w:p>
      <w:pPr>
        <w:pStyle w:val="Heading2"/>
      </w:pPr>
      <w:r>
        <w:t>2. Axel Asker (Första kammarens moderata parti, man)</w:t>
      </w:r>
    </w:p>
    <w:p>
      <w:r>
        <w:rPr>
          <w:b w:val="0"/>
        </w:rPr>
        <w:t>Då jag vid 1894 års riksdag uttalade mig mot stämpelskatt för arf i den form, frågan då förelåg, torde det icke förefalla någon underligt, att jag nu ställer mig på deras sida, som</w:t>
        <w:br/>
        <w:br/>
        <w:t>vilja göra denna skatt så lindrig som möjligt särskildt i fråga om Ändringar i sådana donationer, som i de föreliggande motionerna afses. Jag kan stämpelförord-</w:t>
        <w:br/>
        <w:br/>
        <w:t>nemligen för min del icke finna, att staten bör taga skatt af ett -.;</w:t>
        <w:br/>
        <w:br/>
        <w:t>testamente till exempelvis en kyrka eller en läroverksbyggnad till högre belopp, än som utgår för den andel i ett bo, som genom arf eller testamente tillfaller bröstarfvinge. Den inkonseqvens, för hvilken utskottet varnar, tror jag man kan taga ganska lugnt och trösta både utskottet och sig sjelf med den gamla, kända satsen: "det gifves ingen regel utan undantag”. |</w:t>
        <w:br/>
        <w:br/>
        <w:t>Utskottet säger visserligen i slutet af sitt betänkande, att "utskottet icke kan underlåta att påpeka svårigheten att bestämma, hvilka inrättningar borde komma i åtnjutande af en eventuel lindring i stämpelskatten, för undvikande deraf att äfven inrättningar, hvilka i intet afseende kunna likställas med fromma stiftelser, blifva delaktiga deraf&lt;; men då jag anser denna svårighet undanröjd genom den af grefve Hamilton vid betänkandet fogade reservation, tvekar jag för min del icke att, med åberopande af de i reservationen och af mig nu anförda skäl, vördsamt yrka afslag å bevillningsutskottets föreliggande betänkande och bifall till den af grefve Hamilton afgifna reservationen.</w:t>
      </w:r>
    </w:p>
    <w:p>
      <w:pPr>
        <w:pStyle w:val="Heading2"/>
      </w:pPr>
      <w:r>
        <w:t>3. Philip Leman (Första kammarens minoritetsparti, man)</w:t>
      </w:r>
    </w:p>
    <w:p>
      <w:r>
        <w:rPr>
          <w:b w:val="0"/>
        </w:rPr>
        <w:t>Det torde allmänt erkännas, att det är synnerligen svårt att affatta en skattelag samt särskildt att rätt afpassa skattesatserna uti en sådan lag som en stämpelförordning. Det är derför icke underligt, att tidt och ofta komma anmärkningar mot en sådan lag särskildt i sådana punkter, der den, som skrifvit lagen, antingen varit inkonseqvent eller ock icke förstått att hålla lagen sådan, att dess föreskrifter drabba på ett rättvist och lämpligt sätt. Om någonstädes i nu gällande stämpelförordning finnas punkter, som äro behäftade med inkonseqvenser och orättvisor, så är det i afseende å gåfvor, och jag skall tillåta mig helt kort påvisa detta med några exempel.</w:t>
        <w:br/>
        <w:br/>
        <w:t>Lagen stadgar ifråga om gåfva af fast egendom, "att afhandling derom skall, då den för lagfart företes, förses med stämpel af 60 öre, då egendom gifvits till skyldeman i rätt nedstigande led, och i annat fall I krona 60 öre för hvarje fulla 100 kronor af värdet". Om alltså en far gifver sin son en fast egendom af 100,000 kronors värde, skall gåfvobrefvet, när det företes för lagfart beläggas med 60 öre för hvarje 100 kronor af fastighetens värde. Stämpeln är således lika stor som den stämpel, hvilken enskild person har att erlägga då han söker lagfart å fastighet, som han köpt eller tillbytt sig. Staten tager alltså vid sådant förhållande endast sedvanlig inregistreringseller lagfartsstämpel, men icke ett enda öre för gåfvan. Om nu samma far gifver en annan son ett kontant belopp af 100,000 kronor och gåfvotagaren för detta belopp köper en fastighet, så tager staten, ifall gåfvobref upprättats först, 600 kronor för gåfvan och sedan ytterligare 600 kronor för lagfart af den inköpta fastigheten. Lika inkonseqvent är stämpelförordningen beträffande stämpel å gåfva, som lemnas till person, hvilken icke är afkomling till gifvaren. För gåfva af fastighet</w:t>
        <w:br/>
        <w:br/>
        <w:t>är stämpeln 1 krona 60 öre pr 100 kronor och då 60 öre pr 100 krorzor afgå såsom lagfartsstämpel, blifver sjelfva gåfvoskatten en krona, då deremot samma skatt för gåfva af lös egendom blifver 1 krona 60 öre.</w:t>
        <w:br/>
        <w:br/>
        <w:t>Tillser man nu vidare huruledes gåfva af lös egendom stämpelbelägges, så skall man finna, att då afhandling om gåfvan upprättas, så tager staten gåfvoskatt, men att då deremot afhandling icke upprättas, så är gåfvan skattefri. Angående stämpel å gåfva af lös egendom stadgas nemligen: +Afhandling derom skall vid utgifvandet förses med stämpel till nedannämnda belopp: då egendomen gifvits till skyldeman i rätt nedstigande led: 60 öre för hvarje fulla 100 kronor af egendomens värde; samt i annat fall 1 krona 60 öre för hvarje fulla 100 kronor af egendomens värde". Här anförda stadgande är emellertid, såsom lätt kan inses, föga effektivt och föga inbringande för statskassan, ty i allmänhet lemnas gåfvor med varm hand, utan att gåfvobref upprättas, och i dessa fall tager och får staten ingen gåfvoskatt. Endast i de undantagsfall, att gåfvan lemnas till någon institution eller from stiftelse, eller ock särskilda vilkor fästas vid gåfvor, upprättas afhandling, å hvilken staten lägger skatt.</w:t>
        <w:br/>
        <w:br/>
        <w:t xml:space="preserve">Några få ur verkligheten hemtade exempel torde kunna belysa stämpelförordningens verkliga innebörd. För någon tid sedan hände, att en rik man i min hemort lemnade en fattig enka en gåfva af 10,000 kronor med vilkor, att </w:t>
      </w:r>
      <w:r>
        <w:rPr>
          <w:b/>
        </w:rPr>
        <w:t>hon²</w:t>
      </w:r>
      <w:r>
        <w:rPr>
          <w:b w:val="0"/>
        </w:rPr>
        <w:t xml:space="preserve"> skulle under sin lifstid åtnjuta räntan, hvaremot </w:t>
      </w:r>
      <w:r>
        <w:rPr>
          <w:b/>
        </w:rPr>
        <w:t>hennes²</w:t>
      </w:r>
      <w:r>
        <w:rPr>
          <w:b w:val="0"/>
        </w:rPr>
        <w:t xml:space="preserve"> </w:t>
      </w:r>
      <w:r>
        <w:rPr>
          <w:b/>
        </w:rPr>
        <w:t>dotter²</w:t>
      </w:r>
      <w:r>
        <w:rPr>
          <w:b w:val="0"/>
        </w:rPr>
        <w:t xml:space="preserve"> skulle efter modrens frånfälle erhålla kapitalet. "Då man sade honom, att gåfvobrefvet skulle beläggas med 160 kronor i stämpel, blef han naturligtvis högst förvånad. «Skall jag betala 160 kronor för att jag hjelper en fattig enka", frågade han. "Ja", sade man, "sådan är lagen, men hade ni icke gjort vilkoret, att räntan skulle tillfalla modern och kapitalet barnen, samt gåfvobref alltså icke hade behöft upprättas, så hade ni sluppit betala. Samtidigt gaf samme man en annan person ett briljantsmycke, värdt omkring 10,000 kronor. Det var en lyxsak, men för den gåfvan betalades ingen stämpel. En annan rik man gaf med varm hand hvar och en af sina många syskonbarn ett belopp af 100,000 kronor i penningar och löpande värdehandlingar. Som gåfvan lemnats med varm hand, utan att afhandling eller gåfvobret derom upprättades, så var gåfvan stämpelfri. Alla dessa hundratals gåfvor, som lemnas man och man emellan, gå alltså skattefria, men endast de gåfvor, som gifvas till allmännyttiga och välgörande ändamål, måste beläggas med stämpel. Kan detta vara konseqvent och rätt? Jag tror det icke!</w:t>
        <w:br/>
        <w:br/>
        <w:t>Det finnes vidare en sorts afhandlingar, som aldrig beläggas med stämpel, ehuru jag tror, att, om man vore noga, de borde stämpelbeläggas, och det är de mångfaldiga listor, på hvilka personer förbinda sig att till något visst ändamål eller till någon viss person lemna så och så stort belopp, men naturligtvis faller det ingen in, att dessa listor skola beläggas med stämpel. Af det anförda torde kammaren finna, att stämpelförordningens stadganden angående gåfva drabba enormt ojemnt. Den rike mannen, som med varm hand gaf sina syskonbarn en stor förmögenhet, hade ingen skyldighet att erlägga</w:t>
        <w:br/>
        <w:br/>
        <w:t>gåfvoskatt. Hade han deremot gifvit samma förmögenhet till någon from stiftelse, t. ex. till Sofiahemmet eller Eugeniahemmet, samt derom utfärdat gåfvobref, så hade han betungats med en betydlig utgift för stämpel å gåfvobrefvet. Jag tillåter mig i detta sammanhang att fästa kammarens uppmärksamhet derå, att, enligt gällande förordning, är det gifvaren, men icke gåfvotagaren, som skall drabbas af gåfvoskatten. Om man frågar en i stämpelförordningens irrgångar icke hemmastadd person: tycker ni att det är rimligt att, om en person lemnar en gåfva, staten af honom skall taga en extra beskattning, så tror jag, att hvar och en, som låter leda sig endast af sitt sunda, naturliga förstånd, skall svara, att det är ytterst orimligt.</w:t>
        <w:br/>
        <w:br/>
        <w:t>För min del skulle jag helst vilja taga bort all lagstiftning om beskattning å gåfva, men då förslag härom nu icke föreligger, inskränker jag mig till att yrka bifall till grefve Hamiltons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