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886</w:t>
      </w:r>
    </w:p>
    <w:p>
      <w:r>
        <w:rPr>
          <w:b/>
        </w:rPr>
        <w:t xml:space="preserve">Datum: </w:t>
      </w:r>
      <w:r>
        <w:t>1900-05-02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Paul Petter Waldenström (Utan partibeteckning, man)</w:t>
      </w:r>
    </w:p>
    <w:p>
      <w:r>
        <w:rPr>
          <w:b w:val="0"/>
        </w:rPr>
        <w:t>Som herrarne torde veta, var jag också emot den här omordade lagen, och jag anser det vara mycket beklagligt, att en sådan lag blifvit utfärdad i vårt land. Den har enligt min mening icke medfört någon nytta, men deremot vållat mycken skada. Hvad beträffar sättet för dess utfärdande, så vill jag icke</w:t>
        <w:br/>
        <w:br/>
        <w:t xml:space="preserve">koll. att göra anmärkning mot regeringen, derför att </w:t>
      </w:r>
      <w:r>
        <w:rPr>
          <w:b/>
        </w:rPr>
        <w:t>hon²</w:t>
      </w:r>
      <w:r>
        <w:rPr>
          <w:b w:val="0"/>
        </w:rPr>
        <w:t xml:space="preserve"> stadfäst ett af</w:t>
      </w:r>
    </w:p>
    <w:p>
      <w:pPr>
        <w:pStyle w:val="Heading2"/>
      </w:pPr>
      <w:r>
        <w:t>2. Martin Nyström (–, man)</w:t>
      </w:r>
    </w:p>
    <w:p>
      <w:r>
        <w:rPr>
          <w:b w:val="0"/>
        </w:rPr>
        <w:t>Jag har endast begärt ordet för att instämma i herr Staaffs yttrande.</w:t>
        <w:br/>
        <w:br/>
        <w:t>Under denna punkt tillkännagaf utskottet, att utskottet funnit det i protokoll öfver ministeriella ärenden den 28 februari 1900 omförmälda regeringsärende angående förordnande för juris kandidaten Thor von Ditten till kabinettssekreterare vid kongl. utrikesdepartementet vara af beskaftenhet att böra, jemlikt 8 107 regeringsformen, hos Riksdagen anmälas.</w:t>
      </w:r>
    </w:p>
    <w:p>
      <w:pPr>
        <w:pStyle w:val="Heading2"/>
      </w:pPr>
      <w:r>
        <w:t>3. Alfred Lagerheim (–, man)</w:t>
      </w:r>
    </w:p>
    <w:p>
      <w:r>
        <w:rPr>
          <w:b w:val="0"/>
        </w:rPr>
        <w:t>Herr talman, mina herrar! Utskottet har i den nu föredragna punkten tillkännagifvit för Riksdagen, att utskottet för sin del icke kunnat godkänna den behandling, som ett på min föredragning af Konungen afgjordt befordringsärende erhållit.</w:t>
        <w:br/>
        <w:br/>
        <w:t>Utskottet uttalar, att enligt dess åsigt måste af Konungens råd-</w:t>
        <w:br/>
        <w:br/>
        <w:t>gifvare fordras, att de alltid, jemväl i sådana fall, der fråga kan uppstå att bryta med en redan gammal lagstridig praxis, noga skola tillse, att grundlagens otvetydiga bud efterlefvas, och utskottet har slutligen också framhållit, att uraktlåtenhet i sådant hänseende svårligen kan anses förenlig med statsrådsledamots pligt att i sina rådslag iakttaga rikets sannskyldiga nytta eller en föredragandes skyldighet att med nit, skicklighet och drift sitt förtroendeembete utöfva.</w:t>
        <w:br/>
        <w:br/>
        <w:t>Dermed har utskottet helt säkert fyllt sin pligt. Det må nu tillåtas mig såsom föredragande i det anmärkta ärendet att också fylla min. Den skall bestå deruti, att jag vill söka närmare belysa den praxis, som utskottet har kallat lagstridig, samt redogöra för dess uppkomst och för de skäl, som antagligen vid olika tider föranledt dess vidhållande eller icke-vidhållande.</w:t>
        <w:br/>
        <w:br/>
        <w:t>Men innan jag behandlar denna fråga, anser jag det också vara min pligt att närmare beröra vissa uttalanden af utskottet, som jag väl icke kan finna stå i strängt logiskt sammanhang med utskottets kläm, och som derför säkert hade kunnat och möjligen bort vara borta, men som å andra sidan icke kunna förutsättas hafva tillkommit utan afsigt. I dessa uttalanden förekommer åtskilligt, mot hvilket jag måste inlägga en bestämd gensaga.</w:t>
        <w:br/>
        <w:br/>
        <w:t>Det är ett obestridigt faktum, att genom det den 28 februari 1900 på ministerns för utrikes ärendena föredragning fattadt kongl. beslut har för första gången en norsk man af Kongl. Maj:t utsetts till kabinettssekreterare 1 utrikesdepartementet. Förordnande för norsk man att bestrida befattningen har likväl förekommit dessförinnan; och den man, mot hvars förordnande af Kongl. Maj:t utskottet nu gjort anmärkning, var at min närmaste företrädare i embetet ett par gånger förordnad att bestrida befattningen. Jag skulle äfven kunna gå längre tillbaka och citera ett par liknande precedensfall.</w:t>
        <w:br/>
        <w:br/>
        <w:t>Hvad jag nu omförmält har helt säkert varit för utskottet obekant. Men utskottet uttalar helt öppet och bestämdt, att förordnanden af norske män till tjenster inom departementet icke hafva varit för utskottet obekanta; och utskottet hade kanske kunnat gå ett steg längre och upplysa Riksdagen derom, att under årtionden norske män alltid varit anstälde inom utrikesdepartementet. För den händelse emellertid, att detta faktum också skulle varit för utskottet obekant, begagnar jag gerna tillfället att nu för kammaren såväl som för utskottet betona, att så länge jag varit med i diplomatisk tjenst — och det har varit i nära 40 år — hafva alltid norske män varit anstälde icke blott vid beskickningarne, utan äfven i departementet; och det var också förhållandet en god tid, innan jag kom in på den banan.</w:t>
        <w:br/>
        <w:br/>
        <w:t>Utskottet uttalar, att en sådan anställning måste anses vara stridande mot 28 8 regeringsformen. Detta uttryck "måste anses" antager jag för visso vara en mildare form än att säga, att det "är? stridande. Och det är tydligt, att utskottet velat ytterligare förmildra sitt uttalande i denna punkt genom att längre fram i betänkandet säga, att ett sådant anställande af norske män i utrikesdepartementet onekligen innebär «en afvikelse från föreskrifterna i 8 28 regeringsformen”. Jag hade</w:t>
        <w:br/>
        <w:br/>
        <w:t>nämnda hänseende erforderliga utbildningen vara nödvändig".</w:t>
        <w:br/>
        <w:br/>
        <w:t>Dessa ord äro mycket klarare och bestämdare än det något sväfvande erkännande, som utskottet 1900 i föreliggande betänkande gifver och som finner sin sammanfattning i utskottets uttalande, att det erkänner "det i viss mån berättigade" i de skäl, som förebragts för noreke mäns anställande i departementet.</w:t>
        <w:br/>
        <w:br/>
        <w:t>Mina herrar, den unionella karakter, som 1877 års konstitutionsutskott enhälligt tillerkände utrikesdepartementet, består än i dag, och den har, sedan det yttrandet afgafs, icke blott bevarats, utan äfven vidare utvecklats. Jag behöfver i det afseendet kanske blott påminna om 1886 års konsulatförordning.</w:t>
        <w:br/>
        <w:br/>
        <w:t>I det föreliggande betänkandet framhåller utskottet vidare såsom särskildt beaktansvärdt och på ett sätt, som icke för mig är fullt klart i afseende på syftet, att genom den nu förevarande befordringsåtgärden man icke stannat inom området för de "lägre befattningarna" inom nämnda departement, utan genom att en norrman förordnats till kabinettssekreterare skridit till att låta norrmän bekläda äfven den högsta befattningen inom departementet näst efter departementschefen. Jag tror icke, att denna skilnad kan anses annat än temligen godtycklig. Atminstone har det påtagligen icke varit Riksdagens mening, att afdelningscheferna — kansliråden, som de också kallas inom departementen i allmänhet — skulle anses bekläda "lägre" befattningar. Riksdagen har i faststälda lönestater upprepade gånger tillerkänt dem sådana löneförmåner, att de äro mycket nära likstälda med expeditionschefer eller kabinettssekreteraren. Skilnaden i lön är ju endast 500 kronor! Icke heller synes mig, att benämningen "lägre" kan vidhållas, om man fäster sig vid hvad utrikesdepartementets instruktion innehåller om dessa embetsmäns åligganden. I det afseendet har utskottet haft det allra bästa tillfälle att pröfva, huru pass låga platser afdelningscheferna innehafva, då utskottet just haft till granskning det statsrådsprotokoll, af den 20 december 1899, då den förnyade nådiga instruktionen för departementet föredrogs och fastetäldes.</w:t>
        <w:br/>
        <w:br/>
        <w:t>Slutligen synes det mig ur rent språklig synpunkt origtigt att</w:t>
        <w:br/>
        <w:br/>
        <w:t>tala om "lägret befattningar inom departementet i motsats mot den högsta”. Men dervid skall jag mindre fästa mig.</w:t>
        <w:br/>
        <w:br/>
        <w:t>Hade utskottet deremot påpekat, att kabinettssekreterarens befattning är den vigtigaste inom departementet näst efter departementschefens, då hade jag visserligen icke dervid kunnat erinra något. Men just i det obestridliga förhållandet, ått denna befattning är den vigtigaste, måste också ligga en maning för departementschefen, att vid hemställan till Kongl. Maj:t om förordnande till denna befattning föreslå den person, som enligt hans tanke är den skickligaste och mest förtjente. Denne man ensam kan anses vara lämpligast för befattningen; och den lämpligaste kan icke blifva olämplig derför, att han är norrman,</w:t>
        <w:br/>
        <w:br/>
        <w:t>Utskottet anmärker, att intet yttrande af föredraganden eller af Konungens öfriga svenska rådgifvare på något sätt antydt, att lämpligheten att till befattningen utse en norsk man skulle varit föremål för särskildt öfvervägande. Det har icke dess mindre varit fallet; och skälet, hvarför en sådan man ansågs böra komma i fråga, har jag nyss angifvit. Deremot i afseende på utskottets förvåning eller undran öfver, att icke protokollet upplyser, huruvida någon svensk man också var på förslag, måste jag å min sida uttala min förvåning öfver, att utskottet tänkt sig, att något sådant kunnat stå i protokollet; ty för konstitutionsutskottet, som haft att granska protokollen för de olika departementen och som dervid helt säkert funnit en mängd utnämningar till förtroendeembeten, kan det icke vara obekant, att protollen 1 regel, ja, jag tror undantagslöst, icke innehålla någon diskussion inför Kongl. Maj:t om lämpligheten af den ene eller andre kandidaten. För befattningar, som icke sökas, finnes ju dertill hvarken fog eller anledning.</w:t>
        <w:br/>
        <w:br/>
        <w:t>I sammanhang härmed vill jag tillåta mig att upptaga till besvarande en punkt, som förekommer i en af de reservationer, som fogats till betänkandet. En reservant, som instämt i utskottets kläm, men icke kunnat gilla dess motiv, har bland annat påpekat, att i det förhållandet, att ett sådant förordnande, som denna gåug skedde på miaisteriel föredragning, då det gälde en norsk man, hade, om det gält en svensk man, bort ske i svenskt statsråd — att i detta förhållande skulle ligga en anomali, eftersom det måste vara på förhand afgjordt, hvem som skulle blifva förordnad, emedan man annars icke kunde bestämma, om det skulle blifva vanligt eller ministerielt statsråd. Anmärkningen är otvifvelaktigt mycket fyndig. Men jag tror, att den förlorar sin betydelse, om jag får helt kort upplysa, huru det tillgår vid tillsättandet af sådana befattningar och huru det tillgått äfven vid detta tillfälle. Det är icke först, när ärendet kommer inför Konungen i statsrådet, vare sig i vanligt svenskt eller ministerielt statsråd, som pröfningen af den föreslagna kandidatens lämplighet eger rum. Den första behandlingen af ett sådant ärende, liksom af det stora flertalet ärenden öfver hufvud, sker i den s. k. statsrådsberedningen, der den departementschef, som har att föredraga något, särskildt i afseende å utnämnandet af förtroendeembetsmän, är angelägen att höra sina kollegers åsigt om personens lämplighet. Om då icke uppstår någon</w:t>
        <w:br/>
        <w:br/>
        <w:t>meningsskiljaktighet, såsom denna gång icke heller var fallet, fortgår behandlingen sålunda, att departementschefen enskildt inför Konungen föredrager ärendet. Om vid detta tillfälle, då naturligtvis departementschefen inför Konungen redogör för hvad som inom statsrådsberedningen blifvit yttradt, icke heller från Konungens sida någon invändning sker, kommer slutligen ärendet till föredragning inför Konungen i statsrådet eller i ministerielt statsråd. Af allt detta torde framgå, att alla nödiga konstitutionella garantier på förhand vidtagas och hafva varit vidtagna äfven i det nu föreliggande fallet.</w:t>
        <w:br/>
        <w:br/>
        <w:t>Äfven en annan punkt är jag skyldig att upptaga till besvarande. Utskottet har framhållit, att det kunde ligga någon betänklighet deruti, att en kabinettssekreterare såsom expeditionschef kunde komma att föredraga utrikesdepartementsärenden inför tillförordnad regering, hvarvid det tydligen är utskottets mening, att kabinettssekreterarens egenskap af att vara norsk man skulle antingen lägga absolut hinder i vägen derför eller vara så föga öfverensstämmande med svensk konstitutionel praxis, att man måste råka i en dilemma. Nej, mina herrar, så är icke förhållandet; åtminstone är det ofantligt lätt att undvika denna dilemma. För det första vill jag upplysa derom, att enligt en uträkning, som jag i går låtit ytterligare kontrollera, från och med år 1868 till och med den dag som i dag är, endast vid fem tillfällen föredragning af utrikesdepartementsärenden egt rum i svenskt statsråd inför tillförordnad regering, och detta kommer helt naturligt deraf, att de allra flesta ärenden, som utrikesdepartementet har att handlägga och föredraga inför Konungen, äro af-unionel beskaffenhet. Bland dessa fem fall är det särskildt ett, som helt enkelt angifver, hvilken väg man kan gå för att undvika, att en norsk man såsom kabinettssekreterare behöfver blifva föredragande i svenskt statsråd inför tillförordnad regering. Jag var sjelf en gång afdelningschef i departementet, då kabinettssekreteraren till följd af sjukdom eller tjenstledighet — jag minnes icke hvilketdera — hade förfall, och under denna tid förekom bland andra ärenden frågan om exeqvatur för en främmande konsul här i landet. Kongl. regeringen förordnade mig då först till föredragande och sedan fick jag inför regeringen föredraga ärendet. Detta står i fullständig harmoni med den vanliga bestämmelse, som gifves i hvarje instruktion, som Kongl. Maj:t utfärdar, då han tillsätter en tillförordnad regering. Det finnes ingen allmän författningsbestämmelse om hvem som skall inför regeringen föredraga, utan det har i temligen oförändrade ordalag alltsedan år 1844 uti Konungens instruktion inryckts en paragraf derom, att expeditionscheferna skola vara föredragande, hvarjemte det plägar göras undantag för vissa ärenden, som regeringen ej får behandla. Det finnes således icke heller något hinder för att det göres undantag för utrikesdepartementet, när fog dertill föreligger, och att i den kongl. instruktionen öfverlemnas åt regeringen att efter behof förordna särskild föredragande för departementet.</w:t>
        <w:br/>
        <w:br/>
        <w:t>Jag tror mig härmed hafva undandragit marken för de betänkligheter, som kunde ligga i det af utskottet påpekade förhållandet.</w:t>
        <w:br/>
        <w:br/>
        <w:t>Jag skall icke vidare uppehålla mig vid dessa anmärkningar mot</w:t>
        <w:br/>
        <w:br/>
        <w:t>konstitutionsutskottets uttalanden, men innan jag lemnar ämnet, anser Jag mig dock böra påpeka hvad som i öfverensstämmelse med 1877 års Riksdags konstitutionsutskotts åsigt måste betraktas såsom en nödvändighet för utrikesdepartementet, nemligen att ständigt inom sig ega norske män. Ja, det vore helt enkelt omöjligt att sköta detta departementsärenden utan att hafva daglig hjelp af norske män. Och sådant är väl ock helt naturligt. Vid unionens tillkomst år 1814, äfven om i början formerna voro ofullständiga och länge nog lemnade åtskilligt öfrigt att önska, blefvo Norges utrikesärenden anförtrodda i den svenska utrikesministerns vård. Ett sådant förtroende ålägger förpligtelser, och jag vet, att icke någon här skall motsäga mig, om jag säger, att dessa förpligtelser hafva iakttagits under de förflutna årtiondenas lopp; och jag tror icke heller, att man från norsk sida haft berättigad anledning att klaga öfver det sätt, hvarpå Norges intressen tillgodosetts. Men på samma gång måste jag gent emot dem, som möjligen ännu i dag kunna finna det egendomligt, att norske män anställas i utrikesdepartementet, trots den bestämmelse i vår regeringsform, som icke synes fullt harmoniera dermed, säga: här måste det ena eller det andra vika, antingen gören I det omöjligt för departementet att fylla sin unionella pligt eller också bören I, till dess grundlagen blifvit ändrad, utan förbehåll erkänna den praxis, som med Riksdagens och konstitutionsutskottets fulla kännedom vuxit upp, utbildats, vidhållits och än i dag består.</w:t>
        <w:br/>
        <w:br/>
        <w:t>Jag öfvergår nu till att behandla frågan om föredragningen i ministerielt statsråd af ärenden rörande befordring af norske män i departementet. Jag bör dervid till en början upplysa, att statsministern för utrikes ärendena vid 1860 års riksdag. gjorde sig skyldig till ett minnesfel, då han på riddarhuset uppgaf, med anledning af då framstälda anmärkningar mot i svenskt statsråd skedda förordnanden af ett par norske män, att sådant hade egt rum alltifrån första tiden, då norrmän anstäldes i departementet. Det förhåller sig verkligen så — och han hade detta otvifvelaktigt i minnet, emedan det var ett faktum, som på sin tid väckte uppmärksamhet och derför måst fastna i minnet — att den förste norrman, som anstäldes i utrikesdepartementet, nemligen Niels Anker, blef den 15 februari 1825 på hemställan af statsministern för utrikesärendena i svenskt statsråd utnämnd” till andre sekreterare. Ärendet återfinnes i statsrådsprotokollet för kammarärenden den 15 februari nämnda år, hvilket protokoll justerades den 22 i samma månad. Sedermera kom ingen norrman in i utrikesdepartementet förr än år 1840, då Georg Christian Sibbern "utnämndes" till andre sekreterare, men detta skedde på ministeriel föredragning. Så var äfven förhållandet med Carl Adalbert Mansbach, som utnämndes” till andre sekreterare 1843. Derefter kommo Peter Collet 1845, Peter Pryds Bloch 1852 och Fredrik Georg Knut Due 1856, hvilka alla tre utnämndes och förordnades" till andre sekreterare på ministeriel föredragning. Motivet till denna omkastning kan man måhända förstå, om man erinrar sig, att emellan den första utnämningen, som skedde år 1825 i svenskt statsråd, och den näst påföljande, som egde rum år 1840 på ministeriel föredragning, tillkommit bestämmelsen</w:t>
        <w:br/>
        <w:br/>
        <w:t>af år 1835 angående den norske statsministerns tillkallande vid ministeriella ärendens behandling. Åtminstone vet icke jag, ens gissningsvis, att anföra någon annan grund för denna förändring uti behandlingssättet.</w:t>
        <w:br/>
        <w:br/>
        <w:t>Sedermera inträffade det under år 1858, att två norrmän, hvaraf den ene — Bloch — redan var anstäld i departementet och den andre — Oluf Stenersen — då blef anstäld, "förordnades" i svenskt statsråd, den förre till expeditionssekreterare och den senare till andre sekreterare. Detta var ett uppenbart brytande med en länge följd praxis, men jag tror, att äfven detta kan få sin förklaring, nemligen deraf, att 1856 —7 årens Riksdag på Kongl. Maj:ts framställning hade beviljat en ny lönestat för departementet i samband med en fullständigt ny organisation af detsamma. Jag antager — det är likväl från min sida endast ett antagande — att utrikesministern, sedan genom den nya, af Riksdagen godkända och af Kongl. Maj:t faststälda lönestaten blifvit bestämdt, att slutsumman af de inom departementet utgående lönerna, uppgående till 41,700 riksdaler riksmynt, skulle bestridas af dels anslaget på svenska riksstatens tredje hufvudtitel, dels de förenade rikenas gemensamma anslag till konsulsfonden och dels slutligen det norska anslaget till ministerstaten, jag antager, säger jag, att departementschefen ansåg, att departementet härigenom äfven formelt hade fått en sådan karakter, att dessa utnämningar icke längre behöfde ega rum på ministeriel föredragning, och att, då Riksdagen godkänt, att de anslagna lönerna till tjenstemännen äfven utgingo af norska statsmedel, så avt hvarje svensk uppbar lön äfven af norska medel och hvarje norsk man äfven af svenska medel, det icke vidare fans något hinder att föredraga sådana ärenden i svenskt statsråd.</w:t>
        <w:br/>
        <w:br/>
        <w:t>Emellertid gjorde, såsom bekant, konstitutionsutskottet vid 1859 och 1860 årens riksdag väl icke någon anmärkning i den form, som i dag förekommer, men dock en anmälan till Riksdagen af ärendet. Rikets Ständer lade visserligen denna anmälan till handlingarne. Men icke desto mindre torde dock den omständigheten, att utskottet anmält saken för Riksdagen, hafva gjort så pass mycket intryck, att regeringen sade sig, att det icke ginge an att fortsätta enligt den nya formen, och äfven med det milda sätt, hvarpå utskottet gjort sin anmälan, och det ännu mildare, hvarpå Riksdagen fattat sitt beslut, ansåg man troligen, att det efter Riksdagens mening kanske dock icke vore förenligt med 28 8 regeringsformen, att norske män förordnades i svenskt statsråd, utan att man borde återgå till förutvarande praxis att föredraga sådana ärenden i ministerielt statsråd.</w:t>
        <w:br/>
        <w:br/>
        <w:t>Jag skall nu tillåta mig att sammanfatta hvad jag anfört.</w:t>
        <w:br/>
        <w:br/>
        <w:t>Om någonting kan sägas hafva vunnit erkännande och gillande såväl från Riksdagens som från konstitutionsutskottets sida, är det otvifvelaktigt den — låt vara vid sidan af grundlagen — uppkomna praxis, att norske män kunna vinna anställning i utrikesdepartementet. Intet har hittills förekommit, som kan tydas derhän, att det varit Riksdagens mening, att ett undantag härifrån borde göras för kabinettssekreterarebefattningen.</w:t>
        <w:br/>
        <w:br/>
        <w:t>Sedan 60 år — med endast ett undantag — och sedan åtta och</w:t>
        <w:br/>
        <w:br/>
        <w:t>trettio år undantagslöst hafva samtlige i kabinettet anstälde norrmän förordnats på ministeriel föredragning.</w:t>
        <w:br/>
        <w:br/>
        <w:t>Det kan väl derför med fog sägas, att äfven härutinnan en rättspraxis uppstått och utbildat sig, som icke utan vidare kan aftärdas med benämningen ”lagstridig”, helst om man tager i betraktande namnen på de statsrådsledamöter, som vid olika tider föredragit eller afgifvit sina råd vid föredragningen af sådana mål. Dessa namn har konstitutionsutskottet haft under sina ögon, men icke funnit anledning att delgifva Riksdagen. Jag vill derför nu tillåta mig att uppläsa dem.</w:t>
        <w:br/>
        <w:br/>
        <w:t>Med utelemnande af nuvarande statsrådsledamöter, hatva följande personer sedan 1862 deltagit i sådana ministeriella mål, som rört norrmäns anställning i utrikesdepartementet:</w:t>
        <w:br/>
        <w:br/>
        <w:t>Kammaren skall säkert lika med mig finna, att bland dessa namn äro icke få, som kunna räknas till vårt lands yppersta. Om derför mina kolleger och jag, i det af konstitutionsutskottet nu anmärkta fallet, handlat i strid med någon grundlagens föreskrift, måste det väl äfven af den strängaste domare kunna från början antagas, att sådant skett i den fullständigaste goda tro.</w:t>
        <w:br/>
        <w:br/>
        <w:t>Mitt samvete fritager mig i hvarje fall från att hafva velat tillråda Konungen att fatta ett grundlagsstridigt beslut eller att fatta sitt beslut i grundlagsstridig form, och mitt sunda förnuft säger mig, att jag genom att tillråda Konungen att förordna den person till kabinettssekreterare, som enligt min fullaste öfvertygelse dertill var den skickligaste och mest förtjente, icke kan hafva svikit en statsrådsledamots pligt att i sina rådslag iakttaga rikets sannskyldiga nytta eller en föredragandes skyldighet att med nit, skicklighet och drift sitt förtroendeembete utöfva.</w:t>
        <w:br/>
        <w:br/>
        <w:t>Det tillkommer nu eder, mina herrar, att afgöra, om jag härutinnan skulle hafva misstagit mig. Jag afvaktar med fullaste förtroende eder dom.</w:t>
      </w:r>
    </w:p>
    <w:p>
      <w:pPr>
        <w:pStyle w:val="Heading2"/>
      </w:pPr>
      <w:r>
        <w:t>4. Sixten von Friesen (Liberala samlingspartiet, man)</w:t>
      </w:r>
    </w:p>
    <w:p>
      <w:r>
        <w:rPr>
          <w:b w:val="0"/>
        </w:rPr>
        <w:t>Jag vill för min del icke ingå i någon juridisk pröfniog af det spörsmål, som här föreligger. Jag vill endast uttala den åsigten, att grundlagen icke blifvit förändrad och i allmänhet icke kan förändras så, att den i allt motsvarar de under tidernas lopp skiftande förhållandena, äfven om man kunde antaga, att den från början varit rätt afpassad efter då befintliga kraf på grundlagsstiftning. Det blir redan häraf en följd, att som ett komplement till grundlagen måste utbildas en konstitutionel praxis, visserligen icke för någon bindande, men dock sådan, att den endast af nödtvång bör öfvergifvas. Detta förnekas väl icke heller af någon, allra minst af</w:t>
        <w:br/>
        <w:br/>
        <w:t>någon, som haft sin hand med vid affattandet af det nu behandlade memorialet. Nu föreligger här ett fall, för hvilket grundlagen, då den skrefs, icke kunde vara afsedd, för hvilket icke sedermera grundlagen blifvit afpassad, och för hvilket derför på grund af händelsernas tvingande magt sedan årtionden tillbaka en viss praxis utbildat sig och vunnit häfd vid sidan af grundlagen. Att denna praxis varit för landet i något hänseende menlig, det betviflar jag, att man skall kunna uppvisa. Med den uppfattning jag har af de unionspolitiska förhållandena tror jag, att man tvärtom måste säga, att den varit för landet nyttig. Skulle vi då verkligen hafva gillat, om regeringen nu brutit med denna praxis? När härnäst ett dylikt spörsmål uppstår, och om icke heller då nya former för en sådan frågas behandling blifvit bestämda, skulle vi då gilla, om regeringen komme att bryta med denna praxis? Nej, för min del tror jag, ur den synpunkt jag nyss framhållit, att detta icke skulle vara öfverensstämmande med rikets sannskyldiga nytta. Af dessa skäl kan jag icke gilla, att anmärkningar nu framstälts emot den ifrågavarande åtgärden, och på det att denna min ställning må erhålla ett så tydligt uttryck som möjligt, yrkar jag, herr talman, att kammaren måtte, med ogillande af de gjorda anmärkningarna, lägga den föredragna punkten till handlingarna.</w:t>
        <w:br/>
        <w:br/>
        <w:t>Herr Darin: Herr talman! Mina herrar! Det höga konstitutionsutskottet kallar och bjuder i dag den svenska Riksdagen att företaga en "Hauptund Staatsaction". Jag skall icke tillåta mig att bedöma, hvad det yttersta syftet med denna action har kunnat vara. Jag skall icke söka utröna, huruvida man dertill afsett att till Riks-</w:t>
        <w:br/>
        <w:br/>
        <w:t xml:space="preserve">dagens område förflytta den larmklocka, som började ljuda förlider höst på åtskilliga valmötesplatser, men som då fullständigt öfverröstades af svenska folkets kraftiga stämma. Jag skall icke göra detta, herr talman, utan endast konstatera några fakta. Då jag gör det, anhåller jag på förhand om ursäkt hos denna kammare, emedan jag kommer att lita till ett uttrycksmedel, till ett språk, som denna kammare icke har så synnerligen lifliga sympatier för. Men i ett så kritiskt läge som detta anser jag, att man är berättigad att använda eit sådant uttryckssätt, som man finner vara bäst passande för ens tanke. Jag skall då tala latin, och jag skall säga: "parturiunt montes, nascetur ridiculus mus.” Kanske finnes det några ledamöter i denna kammare, som kunna mindre latin än det lilla jag kan, och till deras tjenst skall jag tillåta mig att med någon frihet öfversätta dessa ord så: "Berg gingo länge hatvande, och en löjlig råtta kom till lif.&lt; Jag kallar icke denna råtta löjlig derför, att </w:t>
      </w:r>
      <w:r>
        <w:rPr>
          <w:b/>
        </w:rPr>
        <w:t>hon²</w:t>
      </w:r>
      <w:r>
        <w:rPr>
          <w:b w:val="0"/>
        </w:rPr>
        <w:t xml:space="preserve"> är en råtta, utan derför att </w:t>
      </w:r>
      <w:r>
        <w:rPr>
          <w:b/>
        </w:rPr>
        <w:t>hon²</w:t>
      </w:r>
      <w:r>
        <w:rPr>
          <w:b w:val="0"/>
        </w:rPr>
        <w:t xml:space="preserve"> är ett missfoster; och det märkligaste med detta missfoster är det, att de herrar, som varit angelägna att få detta missfoster till verlden, icke kunnat ena sig om beskrifningen på detsamma. Enligt några har detta missfoster 2 fortskaffningsredskap och enligt andra endast ett, ja, det är till och med en, som anser, att det har halftannat. Det är vidare någon skiljaktighet mellan de intresserade herrarne i fråga om missfostrets hufvud. Ty, såsom vi finna, hafva 10 eller rigtigare sagdt 9 ledamöter af Första Kammaren och 1 ledamot af Andra Kammaren gifvit detta hufvud ett visst utseende, jag menar gifvit åt utskottets utlåtande en viss kläm, under det att andra 2 ledamöter från denna kammare gifvit hufvudet en annan form, det vill säga gifvit åt betänkandet en annan kläm. Jag skall icke uppehålla mig vid beskrifningen af dessa 2 hufvuden, men desto mera vid beskrifningen af fortkomstmedlen, det vill säga betänkandets motiv, ty jag dristar mig med den lilla språkkunskap jag har påstå, att motiv Just betyder fortkomstmedel. Då vill jag framhålla, att det märkliga faktum inträffat, att af de 12 ledamöter af utskottet, som velat föra fram denna action, 7 förklarat, att fostret är försedt med 2 fötter, nemligen den ena foten &amp; 28 och den andra $ 7 regeringsformen. De öfriga af de 12 herrarne, eller rättare 4 af dem, hafva förklarat, att fostret har blott en fot, nemligen 8 7 regeringsformen. Jag antydde nyss, att det finnes en ledamot af konstitutionsutskottet, som haft en annan mening, det är den ledamoten, som ansett, att tostret har halftannat fortkomstmedel — den betänkligaste formen kanske. Denne ledamot — hvilken han är, inhemtas af utskottets betänkande — har visserligen funnit, att $ 7 regeringsformen är en bra fot, men att $ 28 är blott ett rudiment.</w:t>
        <w:br/>
        <w:br/>
        <w:t>Jag skall emellertid nu åtminstone för en stund lemna skämtet och i stället använda allvar. Jag gör det ogerna, emedan hela denna tillställning på mig gör intrycket af en fars. Jag vill emellertid undersöka, huru detta missfoster kommit till, eller, med andra ord, huru 1 ett konstitutionsutskotts-memorial kunnat ställas till en sådan oreda som den, kammaren nu är i tillfälle att konstatera. Hvar ligger, mina herrar, skulden till, att detta memorial har det utseende, som här synes?</w:t>
        <w:br/>
        <w:br/>
        <w:t>Jo, tydligtvis ligger skulden först och främst hos de herrar, som väckt denna fråga, hos dessa sju — somliga säga åtta, men jag säger sju — hvilka först drifvit fram detta ansvarsyrkande. Men jag påstår dock, att det är andra, nemligen — och jag gläder mig, öfver att, då jag säger detta, de finnas här närvarande — just de tre ledamöter af denna kammare, hvilka biträdt detta utskottets beslut, som hafva den största skulden. Jag skulle icke hafva uttalat detta, om icke de herrarne funnits här, och jag har derigenom förklarat mig beredd att stå för följderna af hvad jag sagt.</w:t>
        <w:br/>
        <w:br/>
        <w:t>Jag skall icke vara vidlyftig för att bevisa sanningen af mitt påstående. Jag håller mig till hvad de tre åsyftade ledamöterna från denna kammare sagt. De hafva ansett, att denna konstitutionsutskottets anmälan rätteligen endast borde fortskaffas på en fot, på en grund, nemligen $ 7 regeringsformen, och deri, mina herrar, ligger det fruktansvärda i behandlingen af detta ärende, ty jag påstår — jag är icke juridiskt bildad, men det sunda förnuftet, om hvilket man förut här i dag talat från högre håll, säger det — att 8 7 icke har med denna sak att skaffa. Det är dock förunderligt, att nio ledamöter af den Första Kammaren och tre af den Andra kunnat påstå, att 8 7 kan tillämpas här.</w:t>
        <w:br/>
        <w:br/>
        <w:t>Regeringsformen är nog — såsom vi alla veta — icke så öfversigtligt uppstäld. Om den hade fått en sådan uppställning som, för att taga ett exempel, riksdagsordningen, d. v.s. så, att vissa paragrafer blifvit sammanförda under vissa rubriker, skulle de värda herrarne säkerligen icke ha begått detta svåra misstag; men de hafva saknat den nödiga ledningen. Den, som läser vår regeringsform i dess helhet, skall finna, att i 8$ 7 talas om regeringsärenden i allmänhet och deras behandling; när man sedan kommer fram till $ 28, står denna 8 såsom en rubrik för en hel rad af följande 8$ och afser sådana regeringsärenden, som gälla befordringsfrågor, det må vara utnämningar med fullmagt eller förordnanden. Den 28:de $en är otvifvelaktigt tilllämplig här, och jag delar härvid den uppfattning, som låg till grund för 1860 års konstitutionsutskotts anmälan, hvilket deremot — jag upprepar det — $ 7 enligt mitt förmenande alldeles icke är. 87 står som inledningen till ett kapitel i regeringsformen och efterföljes af åtskilliga bestämmelser, som hänföra sig till denna 8 och utgöra en utveckling af den; $&amp; 28 inleder också ett nytt kapitel i regeringsformen och de följande paragraferna afhandla hvarjehanda slag af befordringar. Hade nu dessa tre herrar, som jag har särskild anledning att vända mig till, följt det goda råd, som de mottagit från sju herrar från Första Kammaren, och hållit på 8 28, då hade de haft stor anledning att i dag vara mycket mera nöjda med sig sjelfva, än de nu kunna vara.</w:t>
        <w:br/>
        <w:br/>
        <w:t>Hvad menar jag då med detta? Jag skall först säga, att om de herrar, som voro angelägna om att vinna det syfte, som ligger under denna anmälan — hvilket syftet är, vet jag icke — och för hvilka denna anmälan var ett behof, hade sammanslutit sig kring 8 28, hade tolf af utskottets ledamöter icke behöft dagtinga med 8 106 regeringsformen och i stället anlita $ 107, åtta af utskottets ledamöter skulle</w:t>
        <w:br/>
        <w:br/>
        <w:t>icke ha behöft dagtinga eller låta pruta med sig i fråga om högre eller lägre tjenster i utrikesdepartementet. Vidare skulle den ledamot af konstitutionsutskottet, som har sin plats på upsalabänken, icke ha behöft göra sig skyldig till en så bedröflig motsägelse, som han gjort här. Han har nu icke kunnat undvika att hafva en ganska lång ingress till sin reservation med hänsyn till 8 28. Den har generat honom, det halfva, det der rudimentära tortkomstmedlet har alltjemt hägrat för honom. Han har icke kunnat underlåta att sysselsätta sig dermed, och han har då funnit, att med hänsyn till 8 28, är konstitutionsutskottets anmälan icke grundlagsvidrig, utan i stället inkonstitulionel, som det heter i betänkandet sid. 20. Jag väntar att få veta, hvilken skilnaden är mellan ett grundlagsvidrigt och ett inkonstitutionelt förfarande. Å andra sidan skulle den ledamot af utskottet, som har sin plats å geflebänken, besparat sig mödan att erinra derom, att $ 28 regeringsformen tillkom före år 1814. Han nämner i det sammanhanget ingenting om 8 7; han tyckes förmoda, att den tillkommit efter 1814. Vi se således, att han förstått att fiffigt välja sina ord efter det mål, hvartill han velat komma. Jag kan icke beteckna detta som "fair play"?</w:t>
        <w:br/>
        <w:br/>
        <w:t>Ja, herr talman, jag lemnar nu den allvarliga sidan af saken, som föga tilltalar mig, och öfvergår till den skämtsamma igen.</w:t>
        <w:br/>
        <w:br/>
        <w:t>Mina herrar! Då jag af denna kammare blifvit skickad till konstitutionsutskottet för att bevittna den vigtiga händelse, då detta missfoster kom till verlden, är jag skyldig att i min egenskap af utskottsledamot intyga, att detta foster, som jag kallat ett missfoster, är qvickt födt. Och ännu lefver det, men jag vill undersöka, huruvida det har tillräcklig lifskraft för att fortfarande kunna lefva, huruvida det har några utvecklingsmöjligheter — ja, jag ber kammaren lägga märke till, att jag säger utvecklingsmöjligheter och icke invecklingsmöjligheter, ty att sådana finnas, det ha de tre nyss åsyftade herrarne tillräckligt tydligt fått erfara; jag har icke heller talat om några förvecklingsmöjligheter, ty derom vill jag icke yttra mig.</w:t>
        <w:br/>
        <w:br/>
        <w:t>Jag återgår till påståendet, att denna anmälan icke har några utvecklingsmöjligheter, och jag är öfvertygad om, att det icke finnes någon i denna kammare, som icke är af den meningen, att detta sorgliga missfoster bör så fort som möjligt undandragas verldens blickar, eller med andra ord, att det icke finnes någon i denna kammare, som icke yrkar på dess begrafvande. Men, mina herrar, mensklighetskänslan fordrar, att, innan denna begrafning eger rum, en annan åtgärd företages. Vi skola icke begrafva detta foster, fastän det är ett missfoster, lefvande, utan vi måste först aflifva det. Detta är en sak, som är af allvarlig, mycket allvarlig betydelse, och härvidlag vill jag icke såsom stöd åberopa mina egna funderingar, utan hvad som nyss yttrades af hans excellens herr ministern för utrikes ärendena. Han sade, att år 1860 gjorde konstitutionsutskottet anmälan i fråga om det förfaringssätt, som då närmast förut iaktagits på ifrågavarande område. Riksdagen fäste icke afseende vid denna anmälan och gaf dermed till känna, att den åtminstone ville låta bero vid hvad som förekommit, och härmed har det alltjemt fortgått. Om nu denna kammare</w:t>
        <w:br/>
        <w:br/>
        <w:t>begrafver detta missfoster utan att först aflifva det, hvad skall då regeringen tänka? Skall den fästa sig vid hvad Riksdagen 1860 tänkte eller vid hvad Riksdagen 1900 uttalade.</w:t>
        <w:br/>
        <w:br/>
        <w:t>Ja, mina herrar, jag har kanske allt för länge och kanske på allt för skämtsamt sätt i en allvarlig sak tagit kammarens uppmärksamhet i anspråk och slutar derför nu med att på det allra kraftigaste och eftertryckligaste sätt, som jag förmår, och med åberopande af hvad hans excellens herr ministern för utrikes ärendena i saken yttrat, erinra kammaren om angelägenheten af att biträda det yrkande, som herr von Friesen nyss framstälde och till hvilket jag anhåller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