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w:t>
      </w:r>
    </w:p>
    <w:p>
      <w:r>
        <w:rPr>
          <w:b/>
        </w:rPr>
        <w:t xml:space="preserve">Datum: </w:t>
      </w:r>
      <w:r>
        <w:t>1901-03-02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Sigfrid Wieselgren (–, man)</w:t>
      </w:r>
    </w:p>
    <w:p>
      <w:r>
        <w:rPr>
          <w:b w:val="0"/>
        </w:rPr>
        <w:t>Herr vice talman! Mina herrar! Då jag ber att få taga kammarens uppmärksamhet 1 anspråk någon stund, gör jag det ej så mycket med tanke på att derigenom för ögonblicket vinna något praktiskt resultat gent emot utskottets här föreliggande, afstyrkande betänkande, utan jag gör det för att fästa både lagutskottets och öfrige herrar kammarledamöters uppmärksamhet på förhållanden, som kanske mindre ofta berört herrarnes erfarenhet än min. Hvad jag erfarit om utöfning af den s. k. nödvärnsrätten enligt vår svenska lag har gifvit mig den öfvertygelsen, att denna nödvärnsrätt, som i vissa fall måhända borde kallas en nödvärnsskyldighet, minst sagdt är ett tveeggadt svärd. Denna rätt kan begagnas i den, jag höll på att säga, mest lojala afsigt; men icke för ty kan den person, som så utöfvat densamma, efteråt straffas såsom brottsling.</w:t>
        <w:br/>
        <w:br/>
        <w:t>Jag ber herrarna fästa sin uppmärksamhet på den 8:de $, som är aftryckt på andra sidan af lagutskottets betänkande. Der förekommer bestämmelse om rätten till nödvärn mot fånge eller häktad person, som rymmer eller sätter sig till motvärn mot fångvaktare eller annan, som honom från rymning hindra vill. Det förekommer ej så sällan, att man i en tidning får se omnämndt, att en häktad</w:t>
        <w:br/>
        <w:br/>
        <w:t>person rymt från en fånggevaldiger; man kanske förvånar sig öfver att, när, såsom bekant, en fånggevaldiger är utrustad med skjutvapen och har rätt att använda dem för att hindra rymningen, han likväl aldrig gör det.</w:t>
        <w:br/>
        <w:br/>
        <w:t>Förra sommaren hände det sig, att en tidningsman en dag begärde min förklaring i fråga om ett hithörande förhållande; jag fäste då hans uppmärksamhet på, att början af denna paragraf väl tyckes vara ganska klar, men att det förekommer ett par ord i slutet, som gör, att den får ett helt annat utseende för den, som skall bygga sitt tillvägagående på densamma. Der står nemligen : »då må ock det våld brukas, som till rymningens förekommande, ordningens bibehållande eller häktningens verkställande nödigt är»; der möter då den frågan, hvad som är »nödigt&gt;? Sedan kommer i 9 S: »Finnes någon i fall, som i 7 eller 8 $ sagdt är, hafva gjort större våld, än nöden kräfde; pröfce domstolen efter omständigheterna, om och i vad mån straffet må nedsättas under hvad i allmänhet å gerningen följa bort.» Dermed äro vi inne på den ytterst svåra frågan, om det der större våldet, hvad som är ett »större våld, än nöden kräfde»; och den, som stannar inför detta spörsmål, lärer icke undra på, om en fånggevaldiger, om en vaktbetjent tänker sig väl för, innan han använder den rätt han har, man kunde ju också säga den skyldighet, honom är ålagd att genom begagnande af sitt skjutvapen förekomma t. ex. en rymning, enär han ju aldrig kan vara viss på, huruvida icke det våld, han på detta sätt utöfvar, kan komma att gestalta sig vida större, än nöden kräfde och än hvad han sjelf afsåg.</w:t>
        <w:br/>
        <w:br/>
        <w:t>Det hände för några få dagar sedan vid en fångvårdsanstalt, att, då en fångpersonal på tio man, som varit ute på friluftsarbete under bevakning af två konstaplar, skulle inmönstras och släppas genom porten in på fängelsegården, en af de tio begagnade ögonblicket att rymma. Hade de nio följt hans exempel, ja, huru skulle</w:t>
        <w:br/>
        <w:br/>
        <w:t>det då hafva gått? Nu stannade dock de nio — möjligen blefvo de så förbluffade, att de ej hunno besinna sig; men den tionde</w:t>
        <w:br/>
        <w:br/>
        <w:t>sprang. Den ene af konstaplarne var naturligtvis oförhindrad att rigta sin uppmärksamhet på honom, att befalla honom stanna och att, om han ej lydde, använda sitt skjutvapen; men han gjorde icke detta. Han började i stället en kapplöpning med rymlingen. Vanligtvis går det så till, då en fånge rymmer. Äfven gevaldigern plägar springa efter och blir vanligtvis efter, ty rymlingen är merendels yngre och i besittning af större krafter och mera uthållighet, än vaktbetjenten är. Så äfven i detta fall, och snart var rymlingen försvunnen i mörkret.</w:t>
        <w:br/>
        <w:br/>
        <w:t>Nå väl, en vaktbetjent står i hvarje sådant fall i valet och qvalet mellan att blifva straffad för fångspillning och att blifva straffad för — »större våld, än nöden kräfde». Det åligger vaktbetjent enligt gällande instruktion att i dylikt fall skjuta efter rymlingens ben, och han kunde ju också hafva gjort detta så godt han</w:t>
        <w:br/>
        <w:br/>
        <w:t>förstått och mägtat; men hvad hade hindrat, att han misslyckats och att kulan träffat högre upp? Rymlingen kunde ju hafva böjt sig ned i det ögonblick skottet smällt af, och kulan kunde gått midt igenom hjertat på karlen. Hvad hade vaktbetjenten då stått för risk? Han hade naturligtvis fått ett eller annat års straffarbete, blifvit af med tjensten, vilkoret för hela hans existens. Allting hade för honom gått öfver ända, derför att han utöfvat »större våld, än nöden kräfde». Då är det ju ej att undra på, attiallmänhet dessa vaktbetjente hellre taga den mindre risken att bli stälda till ansvar för fångspillning, än de utsätta sig för den större risken att utöfva större våld, än nöden kräfde. Denna deras metodik är nu också vanligtvis så befäst, att, såsom af det anförda fallet visas, fångarne merendels mycket litet respektera skjutvapnen; de ha ingen erfarenhet af att vapnen blifva använda, och hvad som aldrig användes, sättes derigenom ur praxis, tillvinner sig slutligen icke något vidare afseende.</w:t>
        <w:br/>
        <w:br/>
        <w:t>Men, säger man kanske, det måste ju naturligtvis vara lätt för en domstol att taga hänsyn till dylika nödvärnsfall och att bedöma dem desto mildare; det bör ju i allmänhet icke vara så svårt att urskilja gränsen vid nödvärnsrättens praktiska tillämpning. Det urskiljandet är dock ej alltid så lätt. Jag skall be att få gifva ett litet bevis för rigtigheten af motionärens påstående, att nödvärnsbestämmelserna 1 vår lag måste vara »temligen dunkla», eftersom man ser domstolarne vackla i sin uppfattning af hvad som må vara nödvärn eller vanligt våld.</w:t>
        <w:br/>
        <w:br/>
        <w:t xml:space="preserve">Den 4 november 1893 fick en hemmansegare uppe i Torneådalen, tror jag, 22 mil norr om Haparanda, besök af två finske undersåtar, två finnarbetare. De gingo in i hans gård och in i köket, der han sjelf med sin </w:t>
      </w:r>
      <w:r>
        <w:rPr>
          <w:b/>
        </w:rPr>
        <w:t>hustru²</w:t>
      </w:r>
      <w:r>
        <w:rPr>
          <w:b w:val="0"/>
        </w:rPr>
        <w:t xml:space="preserve">, ett litet barn, ett och ett halft år gammalt, och en tjenarinna befunno sig. De båda finnarne voro druckne, ehuru ej svårt. De medhade konjak, deraf de drucko sjelfva och bjödo värden, som visst icke sade nej. Rätt som det var, började de emellertid att föra oljud och framkasta ärekränkande beskyllningar och hotelser till lifvet mot värden, med hvilken de förut varit 1 ett brutet förhållande. Man visste, att det varit hat dem emellan. Den ene af finnarne försökte dessutom att fasttaga och förgripa sig på värdens </w:t>
      </w:r>
      <w:r>
        <w:rPr>
          <w:b/>
        </w:rPr>
        <w:t>hustru²</w:t>
      </w:r>
      <w:r>
        <w:rPr>
          <w:b w:val="0"/>
        </w:rPr>
        <w:t xml:space="preserve">, men värden förhindrade honom det. I stegradt raseri slå finnarne sönder fönster och husgerådssaker, lofva att »göra pölsa af alltsammans» och skrämma på detta vis tjenarinnan, så att </w:t>
      </w:r>
      <w:r>
        <w:rPr>
          <w:b/>
        </w:rPr>
        <w:t>hon²</w:t>
      </w:r>
      <w:r>
        <w:rPr>
          <w:b w:val="0"/>
        </w:rPr>
        <w:t xml:space="preserve"> hastigast smyger sig ut. Värden sjelf, som haft sitt lilla barn i famnen, lemnar nu detsamma till </w:t>
      </w:r>
      <w:r>
        <w:rPr>
          <w:b/>
        </w:rPr>
        <w:t>hustrun²</w:t>
      </w:r>
      <w:r>
        <w:rPr>
          <w:b w:val="0"/>
        </w:rPr>
        <w:t xml:space="preserve"> och går på </w:t>
      </w:r>
      <w:r>
        <w:rPr>
          <w:b/>
        </w:rPr>
        <w:t>hennes²</w:t>
      </w:r>
      <w:r>
        <w:rPr>
          <w:b w:val="0"/>
        </w:rPr>
        <w:t xml:space="preserve"> uppmaning från köket till stugan, som ligger på andra sidan förstugan, samt tillreglar stugudörren. Han försöker således att komma undan och att undvika hvarje fortsättning af de våldsamheter, som på detta sätt påbörjats. Men finnarne fortsätta sitt vilda lif inne i köket. Den ene af dem drager slutligen upp en knif och fäktar med den under </w:t>
      </w:r>
      <w:r>
        <w:rPr>
          <w:b/>
        </w:rPr>
        <w:t>hustruns²</w:t>
      </w:r>
      <w:r>
        <w:rPr>
          <w:b w:val="0"/>
        </w:rPr>
        <w:t xml:space="preserve"> ansigte, yttrande: »med</w:t>
        <w:br/>
        <w:br/>
        <w:t xml:space="preserve">öppnas af mannen, lemnar honom barnet samt springer sedermera, rädd, så att </w:t>
      </w:r>
      <w:r>
        <w:rPr>
          <w:b/>
        </w:rPr>
        <w:t>hon²</w:t>
      </w:r>
      <w:r>
        <w:rPr>
          <w:b w:val="0"/>
        </w:rPr>
        <w:t xml:space="preserve"> skälfver, samt iklädd endast en underkjol samt strumpor och galoscher, till en granne, som bor en halftimmes väg derifrån, för att bedja honom komma till hjelp. Under tiden hafva finnarne letat sig ut ur köket. De bulta på stugdörren och befalla värden att öppna, den ene slår med en knif i dörren, ropande: »med den här knifven skall jag dräpa dig». Den andre af finnarne slår ut två fönsterrutor i stugans fönster med handen och sparkar in den tredje med foten. Sedan ställer sig kamraten utanför den sönderslagna delen af fönstret, som ligger 3'/, qvarter ofvan marken, och med knifven i handen yttrar han: »nu kommer jag och dräper dig». Efter detta är det som värden sätter ned barnet på golfvet, tager en bössa, som står laddad inne i rummet, och går fram med den till fönstret. Då hafva emellertid de af </w:t>
      </w:r>
      <w:r>
        <w:rPr>
          <w:b/>
        </w:rPr>
        <w:t>hustrun²</w:t>
      </w:r>
      <w:r>
        <w:rPr>
          <w:b w:val="0"/>
        </w:rPr>
        <w:t xml:space="preserve"> tillkallade grannarne hunnit tillstädes, och en af dem, en yngling, ser mannen komma fram till fönstret med bössan. Han trycker då in ansigtet i fönstret och ropar till mannen, att bössan icke behöfves, enär det nu kommit folk till hjelp. Men karlen, som är af ett häftigt och våldsamt lynne, har nu hunnit bli så irriterad, att han icke tycks känna igen ynglingen eller förstår, hvem han är, utan hotar äfven honom, i det han säger: »träng er ej in här, för då skjuter jag!» Ynglingen ropar ännu en gång till honom, att det icke behöfves, utan att de nu äro här för att hjelpa honom. Utan att akta derpå, rigtar emellertid mannen bössan utåt och skjuter efter den ene af finnarne samt träffar honom i ryggen. Skottet går midt igenom hjertat, och karlen faller och är död.</w:t>
        <w:br/>
        <w:br/>
        <w:t xml:space="preserve">Nå väl, nu kommer frågan, huru detta våld uppfattades af våra domstolar. Var det nödvärn eller var det icke nödvärn? Häradsrätten finner intet nödvärn föreligga, utan dömer gerningsmannen för dråp till 6 år och 6 månaders straffarbete. Den dömde är öfvertygad om, att han har begagnat sin nödvärnsrätt och går vidare. Hoträtten förehar saken. Der uppstår dissensus. Två ledamöter förklara, att han begagnat sig af nödvärnsrätt, fast han gjort större våld, än nöden kräfde; men tre ledamöter förklara, att ingen nödvärnsrätt förelegat, och ändra icke häradsriättens beslut. Mannen går vidare. Kongl. Maj:t förklarar, att han varit berättigad att använda nödvärn; men då han gjort större våld, än nöden kräfde, ändras hofrättens utslag så, att mannen jemlikt 5 kap. 9 &amp; och 14 kap. 3 $ strafflagen dömes till 2 års straffarbete. Under processens gång hade nu 10!/; månader förflutit, hvarunder mannen suttit uppe i Pajala kronohäkte. Under tiden hade </w:t>
      </w:r>
      <w:r>
        <w:rPr>
          <w:b/>
        </w:rPr>
        <w:t>hustrun²</w:t>
      </w:r>
      <w:r>
        <w:rPr>
          <w:b w:val="0"/>
        </w:rPr>
        <w:t xml:space="preserve"> dött af sorg, barnet hade blifvit angripet af sjukdom och råkat ut för olycksfall, mannens egendom — han var bragt i konkurs — hade gått under klubban, och sjelf var han af ånger öfver sitt dåliga lif och förtviflan öfver sin ställning så gripen, att han fruktade för sitt förstånd: han kände</w:t>
        <w:br/>
        <w:br/>
        <w:t>sig icke kunna härda ut, utan ingaf förra hösten nådeansökan till Ifrågasatt ut- Kongl. Maj:t, och Kongl. Maj:t gaf honom den begärda nåden. rötning af</w:t>
        <w:br/>
        <w:br/>
        <w:t>Af denna relation torde ju verkligen motionärens yttrande vara "ätten temligen kraftigt bestyrkt; ty när i ett fall sådant som detta dom- — (Forts. stolarne kunna hafva olika mening, om nödvärnsrätt föreligger, må väl knappt kunna bestridas, att ju icke lagen kunde behöfva något förtydligas.</w:t>
        <w:br/>
        <w:br/>
        <w:t>Men, mina herrar, nödvärnsrätten kan utöfvas på ännu andra sätt.</w:t>
        <w:br/>
        <w:br/>
        <w:t>Jag fick i fjor som svenska statens ombud göra en utrikes resa. Dagen före afresan blef jag vid ett privat samtal af justitiekansleren tillfrågad rörande en i tidningarna återgifven »interview», dervid bland annat omtalats, att jag om någön förklarat, att han borde hafva fått medalj, men blifvit dömd till så och så många års straffarbete. Justitiekansleren begärde få upplysning om, hvilket fall det var. Derom kunde jag ej upplysa honom, derför att så många år förflutit, sedan fallet förevar, att jag glömt ej blott årtalet utan äfven namnet på mannen i fråga; men jag hänvisade till ett annat fall, som af befälet på Långholmens centralfängelse omtalats för mig och som der mycket upprört känslorna. Sedermera sattes i förbindelse detta fall, i tidningarna kalladt »fallet Wickström&gt;, och historien om medaljen. De hörde dock ej alls i hop. Men jag var då utrikes, och när jag kom tillbaka igen, tyckte jag, att frågan kunde vara utagerad för den gången. Här skall jag emellertid be att få omtala det fall jag afsåg, då jag, såsom anförts, yttrade, att en gerning, som under andra omständigheter kunnat betinga en medalj, nu medfört straffarbete.</w:t>
        <w:br/>
        <w:br/>
        <w:t xml:space="preserve">Det var en midsommardag på qvällen, som en man — jag ber att få säga namnet; det är mycket ofta förekommande, så att det bör ej kunna närgånget individualisera vederbörande: han hette Andersson — jemte fem andra personer gingo mot ett bruk, der bruksarbetarne hade en dansbana, hvarest dans pågick. Mellan bruksarbetarne och jordbruksarbetarne der i trakten rådde en ganska stor misstämning; de höllo sig vanligtvis skilda från hvarandra. Endast bruksarbetarne och deras </w:t>
      </w:r>
      <w:r>
        <w:rPr>
          <w:b/>
        </w:rPr>
        <w:t>fruntimmer²</w:t>
      </w:r>
      <w:r>
        <w:rPr>
          <w:b w:val="0"/>
        </w:rPr>
        <w:t xml:space="preserve"> dansade på dansbanan; jordbruksarbetarne voro derifrån uteslutne. På vägen sammanträffade en bruksarbetare med Andersson och hans sällskap. Någon i sällskapet knuffade om kull bruksarbetaren. Men dermed var den saken slut, och bruksarbetaren fortsatte sin väg. In af de fem i Anderssons sällskap hade emellertid den djerfheten att gå fram till dansbanan. Han blir der igenkänd, och när den knuffade bruksarbetaren berättar, huru han blifvit förfördelad af en flock drängar, upplågar förbittringen. Drängen, som varit i Anderssons sällskap, antalles, och man tillfogar honom med en sten, inknuten i en näsduk, ett ganska våldsamt slag i hufvudet, så att blodet rinner och han finner för godt att fly. När han upphinner sitt sällskap, som sitter på någon plats i närbeten af vägen, omtalar han för detta hvad som händt och säger sig vara förföljd. De gå då litet framåt vägen, tills de få so</w:t>
        <w:br/>
        <w:br/>
        <w:t>en ofantligt stor skara karlar komma, efter några vittnesmål minst 530, efter andra inemot 100. När de få se dessa, taga de naturligtvis till benen och försöka fly undan så hastigt som möjligt. Andersson är snabbfotad. Han hinner undan. Men kamraten, som erhållit slaget, är icke så lätt på foten som Andersson. Han upphinnes, och Andersson hör honom ropa, att han måtte komma och hjelpa honom. När Andersson då vänder sig om, får han se sin kamrat kullslagen på marken och tre karlar i färd med att misshandla honom. Hade Andersson varit en feg mes, hade han ej brytt sig derom, utan fortsatt att springa, då saken för honom hade varit slut; men nu var han en behjertad karl, som blygdes för att lemna sin vän i sticket. Han gör hvad hvarje ärlig svensk i hans läge skulle ha gjort — han vänder om för ett hjelpa sin vän; tager så i hast upp en käpp från marken och slår till en af karlarne —; som han sade till mig, måttade han åt den arm, som var höjd för att dänga till kamraten, i syfte att »döda» hugget mot denne. Men karlen, mot hvilken Andersson rigtar slaget, vrider på sig och träffas i hufvudet. Andersson fortsätter med ännu ett slag åt någon af de andre, befriar på detta sätt sin kamrat, som kommer på benen igen; och sedan detta skett, taga de båda två till flykten. Hittills är ju allt godt och väl, men den af de tre angriparne, som af Andersson fått ett slag i hufvudet, faller. Anderssons kamrat hade ju sjelf nyss fått ett slag i hufvudet, men det hade vållat blott ett ofarligt blodvite. Den af Andersson slagne ligger deremot död. Hvarför? Jo, skälet kom fram vid obduktion af hans kropp: han hörde till de s. k. »tunnskallarne», han hade en så särdeles tunn skalle, att det slag, som, om det träffat en annan, icke skulle hafva gjort någon farlig verkan, deremot på honom spräckte hufvudskålen och hade döden till följd. Andersson blef lagförd. Han säger inför domstolen, alldeles sanningsenligt, att han gjort sin gerning för att bispringa kamraten, »hvilken, som det sägs 1 utslaget, varit i ögonskenlig fara att blifva ytterligare misshandlad af de talrika personer, som, efter förutgånget svårare förfördelande af densamme, länge förföljt och nu upphunnit samt kullkastat honom»; således, just hvad som i 5 kap. 11 8 strafflagen förklaras vara nödvärn, men han blef lika fullt dömd för dråp till 21/, års straffarbete.</w:t>
        <w:br/>
        <w:br/>
        <w:t>Ja, mina herrar, här föreligger ju utom all fråga det faktum, att gerningsmannen utöfvade »ett större våld, än nöden kräfde», för så vidt man ser på våldets verkan; men ingenting visar, att det var ett större våld, än nöden kräfde, derest man ser på hans gerning i och för sig, ty det var ett för honom doldt fel i fråga om angriparens hufvudbildning, som gjorde, att verkan blef sådan som den blef. Det är någonting, säger man möjligen, som kan inträffa i hvarje fall, der två menniskor slås. Den ene vet icke, huru den andre är beskaffad, och genom en ganska lindrig åtgärd, en örfi t. ex., kan en sådan skada inträffa. Men härvidlag är dock någonting särskildt att bemärka. Det är det, att karlen utöfvade sin nöd-</w:t>
        <w:br/>
        <w:br/>
        <w:t>värnsrätt för att skydda en kamrat. Det var sålunda ett ädelt Ifrågasatt wtmotiv, som invecklade honom i den olyckliga situationen, hvars utgång Bräsknnng af heller icke var af honom alls åsyftad. Och jag för min del kan "ätten icke annat än anse det vara en brist i lagen, att det icke finnes i Forts.) densamma en bestämmelse, enligt hvilken det skall fästas särskildt afseende vid eventualiteter eller »ofall» af nu antydda slaget; det blir lätt annars så, som man påstår, att en gammal domare i Stockholms rådstufvurätt en gång skall hafva sagt: »Min vän», skall han hafva yttrat, &gt;»om någon anfaller dig, så spring; ty om du försvarar dig, kan du aldrig veta, om du ej kommer på fästning!»</w:t>
        <w:br/>
        <w:br/>
        <w:t xml:space="preserve">Jag skall be att få redogöra för ännu ett härmed likartadt fall, som ock förefaller mig ganska beaktansvärdt. En ännu ej fullt 18-årig pojke, oäkta född och vid 9 månaders ålder upptagen af ett ogift </w:t>
      </w:r>
      <w:r>
        <w:rPr>
          <w:b/>
        </w:rPr>
        <w:t>fruntimmer²</w:t>
      </w:r>
      <w:r>
        <w:rPr>
          <w:b w:val="0"/>
        </w:rPr>
        <w:t xml:space="preserve">, som gaf honom hem och skydd och uppfostrade honom, och hos hvilken, nu omkring 50-årig, han ännu vid ifrågavarande tillfälle, år 1899, var boende, satt en qväll och drack tillsammans med ett par kamrater hos sin fostermoder. Vid det nästföregående fallet hade jag ingenting att förmäla om något inflytande af rusdrycker, då Andersson vid tilldragelsen var fullt nykter; och i trots af det nämda »gillet», dervid man drack bränvin, tyckes detta dock vara utan skuld, i ty att det våld, som här utöfvades, ej skedde förr än följande dag. Under det emellertid gillet pågick på qvällen, hade ännu en man kommit dit; han hade stannat och slutligen som de andra gått och lagt sig. På morgonen hör fostersonen, huru hans fostermoder inne i köket ropar till mannen — som hette Danielsson — att han skulle gå. Denne förklarar, att han icke ämnar göra det. Flera gånger upprepar </w:t>
      </w:r>
      <w:r>
        <w:rPr>
          <w:b/>
        </w:rPr>
        <w:t>hon²</w:t>
      </w:r>
      <w:r>
        <w:rPr>
          <w:b w:val="0"/>
        </w:rPr>
        <w:t xml:space="preserve"> sin begäran, att han skulle aflägsna sig, men han gör det icke. Så kommer qvinnan in till sin fosterson och säger, att Danielsson varit oförskämd mot </w:t>
      </w:r>
      <w:r>
        <w:rPr>
          <w:b/>
        </w:rPr>
        <w:t>henne²</w:t>
      </w:r>
      <w:r>
        <w:rPr>
          <w:b w:val="0"/>
        </w:rPr>
        <w:t xml:space="preserve">, betett sig oanständigt. Danielsson följer </w:t>
      </w:r>
      <w:r>
        <w:rPr>
          <w:b/>
        </w:rPr>
        <w:t>henne²</w:t>
      </w:r>
      <w:r>
        <w:rPr>
          <w:b w:val="0"/>
        </w:rPr>
        <w:t xml:space="preserve"> in i stugan, der fostersonen är. Denne ber honom gå, men han vill icke. Så går fostermodern åter ut iköket, och både fostersonen och Danielsson följa </w:t>
      </w:r>
      <w:r>
        <w:rPr>
          <w:b/>
        </w:rPr>
        <w:t>henne²</w:t>
      </w:r>
      <w:r>
        <w:rPr>
          <w:b w:val="0"/>
        </w:rPr>
        <w:t xml:space="preserve"> dit. Der upprepar Danielsson sitt otillständiga och oförsynta beteende mot qvinnan. Jag kan icke här ingå i någon beskrifning derom. Det är emellertid af den beskaffenhet, att fostersonen förklarar, "att han ej tål ett sådant beteende, och hotar att kasta ut Danielsson, om han ej uppför sig skickligt. ”Till detta hot tager Danielsson ingen hänsyn, utan fortsätter. Då för fostersonen ut honom och stänger köksdörren efter honom. Danielsson söker på nytt komma in, men mötes af ynglingen, som för honom först ut på gården och derifrån ut på landsvägen. Men envis och ihärdig, antagligen litande på sin styrka — Danielsson var en ovanligt storvuxen karl — kommer han tillbaka. Då går fostersonen mot honom och söker hindra honom att komma vidare. Svärjande och bråksam tränger sig Danielsson fram ett stycke in på gården. Ynglingen söker hålla honom tillbaka med händerna och gifver honom tillika med hufvudet en s. k. »dansk skalle» uuder hakan</w:t>
        <w:br/>
        <w:br/>
        <w:t>visserligen på en vagn till en läkare, men aflider inom några timmar.</w:t>
        <w:br/>
        <w:br/>
        <w:t>Nu egde det förhållandet rum med denne Danielsson, att han hade en ovanligt lång hals; när fostersonen gaf honom stöten med sin skalle, brast sköldbrosket och inträffade en ansvällning af struplocket, som gjorde, att mannen qväfdes. Fostersonen, som så godt han kunnat sökt värna den qvinna, hvilken han hade att tacka för allt utom lifvet, blef åtalad och dömd för dråp. Han sökte nåd. Första gången afslogs hans ansökning, men då den än en gång förnyades, bifölls den.</w:t>
        <w:br/>
        <w:br/>
        <w:t>Här spelar också ett sådant der särskildt förhållande in. Det är en speciel egenskap hos angriparen, som gör, att han på det angifna sättet tager skada. Som herrarne veta, hör det der egendomliga bruket att gifva »danska skallar» visst icke till det ovanlga; men till det ovanliga torde väl höra, att följden blir sådan, som den i detta fall blef. Ynglingen vill mannen intet ondt; han vill blott freda den af honom anfallna qvinnan, och han känner detta såsom en klar skyldighet. Om den följd, hans stöt mot angriparens hals skulle få, drömmer han icke. Icke för ty blir han dömd för dråp. Borde dock icke lagen sjelf taga hänsyn till omständigheter af denna speciella art? Jag har tänkt mig, att det i 9 8 sista punkt borde heta ungefär så: »Voro omständigheterna sådana, att han svårligen kunde sig besinna, eller fick våldet på grund af tillfällig eller oförutsedd omständighet större verkan, än nöden kräfde och afsedt var, då må han ej till straff dömas.»</w:t>
        <w:br/>
        <w:br/>
        <w:t>Jag har, som jag sade, velat fästa det ärade lagutskottets uppmärksamhet på, huru förhållandena vid nödvärn stundom kunna gestalta sig; och då jag icke kan begära, att kammaren skall, som man brukar säga, »på rak arm» antaga ett förslag i den nyss angifna rigtningen, hvarom ju för öfrigt heller icke är motioneradt och derå således heller icke kan framställas någon proposition, inskränker jag mig till att uttala den önskan, att, om lagutskottet framdeles vid något tillfälle å nyo får dessa paragrafer under sin behandling, lagutskottet då måtte benäget fästa något afseende vid hvad jag nu tillåtit mig andraga. .</w:t>
      </w:r>
    </w:p>
    <w:p>
      <w:pPr>
        <w:pStyle w:val="Heading2"/>
      </w:pPr>
      <w:r>
        <w:t>2. Carl Birger Hasselrot (–, man)</w:t>
      </w:r>
    </w:p>
    <w:p>
      <w:r>
        <w:rPr>
          <w:b w:val="0"/>
        </w:rPr>
        <w:t>Då den siste ärade talaren icke framstälde något yrkande, hade jag möjligtvis icke behöft uppträda. Jag tror dock, att denna sak är så vigtig, att den bör ses jemväl från en annan sida, än den förste ärade talaren gjorde. Det är naturligtvis icke lätt att gent emot hans förträffliga och målande anförande, som nog gjort ett mycket starkt intryck på kammaren, försvara en annan mening. Jag skall dock försöka göra detta så godt jag kan.</w:t>
        <w:br/>
        <w:br/>
        <w:t>Jag vill då börja med att uttala den mening, att bestämmelserna om nödvärn väl voro allt annat än tillfredsställande före förändringen af år 1890, men att numera gifvits sådana stadganden</w:t>
        <w:br/>
        <w:br/>
        <w:t>härutinnan, att, derest de af domstolarne tillämpas i öfverensstäm- Ifrågasatt utmelse med lagens ord och anda, skälig anledning till missnöje icke sträckning af</w:t>
        <w:br/>
        <w:br/>
        <w:t>förefinnes. Det är ju icke möjligt att — såsom måhända någon nödvärnaskulle anse önskligt — gifva den nödvärnsöfvande rätt att utöfva = (Forts.)</w:t>
        <w:br/>
        <w:br/>
        <w:t>hvilket våld som helst utan afseende på beskaffenheten af det våld, som mot honom rigtas. Det kan t. ex. icke vara rätt, att den, som blir stucken med en nål, får ostraffadt skjuta ned den, som sticker honom. I någon mån måste alltid nödvärnet rätta sig efter våldet och den fara, som våldet innebär. Lagens hufvudsakliga stadganden lyda sålunda:</w:t>
        <w:br/>
        <w:br/>
        <w:t>»Varder man af annan öfverfallen med våld eller hot, som innebär trängande fara, då ege man rätt till nödvärn och vare saklös för den skada, som man till farans afvärjande gör». »Finnes någon hafva gjort större våld, än nöden kräfde, pröfve domstolen efter omständigheterna, om och i hvad mån straffet må nedsättas under hvad i allmänhet å gerningen följa bort. Voro omständigheterna sådana, att han svårligen kunnat sig besinna, då må han ej till straff dömas».</w:t>
        <w:br/>
        <w:br/>
        <w:t>Mig förefaller dessa stadganden innebära ett kraftigt och tillfredsställande skydd för dem, som till sitt friande åberopar nödvärnsrätt och vågar påstå, att de fall skola vara mycket sällsynta, då våra domstolar nu för tiden — detta gäller såväl öfverrätter som underrätter — icke taga skälig hänsyn till dessa bestämmelser och då rimlig anledning till nödvärn förefunnits, antingen, såvidt möjligt är, frikänna eller åtminstone sätta straffet så lågt som möjligt.</w:t>
        <w:br/>
        <w:br/>
        <w:t>Jag skall nu försöka att i korthet granska de exempel, som den förre talaren anförde.</w:t>
        <w:br/>
        <w:br/>
        <w:t>Han talade först om en konstapel, som ju skall upprätthålla ordningen inom fängelset och som har nödvärnsrätt gent emot fångar, som rymma. Han berättade då, om jag rigtigt minnes, att det under konstapelns bevakning var 10 fångar, af hvilka en sprang och de öfriga 9 stannade qvar. Konstapeln, som icke kunde lemna de qvarvarande, vågade emellertid icke använda skjutvapen mot den rymmande, derför att han riskerade att träffa fången i hufvudet i stället för i benet. I förra fallet skulle han nemligen riskera straff, i det senare skulle han bli straff-fri. Men så vidt jag kan förstå och tolka lagen, skulle han bli straff-fri i båda fallen. Han kunde lugnt ha skjutit, derest sådant erfordrats för att hindra rymningen.</w:t>
        <w:br/>
        <w:br/>
        <w:t xml:space="preserve">Sedan erinrade talaren om en mycket beklaglig händelse från Torneå-dalen och fäste sig dervid mest och utförligast vid det särskildt upprörande sätt, på hvilket de båda finnarne uppförde sig i köket. Men om jag icke misstager mig, gick </w:t>
      </w:r>
      <w:r>
        <w:rPr>
          <w:b/>
        </w:rPr>
        <w:t>hustrun²</w:t>
      </w:r>
      <w:r>
        <w:rPr>
          <w:b w:val="0"/>
        </w:rPr>
        <w:t xml:space="preserve"> derefter att söka hjelp på ett ställe, som var beläget på en half mils eller möjligen en half timmes vägs afstånd derifrån — och </w:t>
      </w:r>
      <w:r>
        <w:rPr>
          <w:b/>
        </w:rPr>
        <w:t>hon²</w:t>
      </w:r>
      <w:r>
        <w:rPr>
          <w:b w:val="0"/>
        </w:rPr>
        <w:t xml:space="preserve"> kunde således hafva varit tillbaka först en full timme efter uppträdet i köket, och mannens känslor kunde således icke då vara upprörda omedelbart af detta uppträde. Hvad försiggick då efter denna timmes</w:t>
        <w:br/>
        <w:br/>
        <w:t xml:space="preserve">förlopp? Jo, finnarne bultade på dörren, höggo i den med en knif och slogo sönder en fönsterruta i det stängda hus, der mannen befann sig. Detta innebar ju anledning att berättiga mannen till skäligt nödvärn, men att, då </w:t>
      </w:r>
      <w:r>
        <w:rPr>
          <w:b/>
        </w:rPr>
        <w:t>hustrun²</w:t>
      </w:r>
      <w:r>
        <w:rPr>
          <w:b w:val="0"/>
        </w:rPr>
        <w:t xml:space="preserve"> ankommit med hjelpande personer och en af dem ropade: »vi äro här till hjelp, det behöfves intet våld», det oaktadt taga och skjuta i hjel en af finnarne, det synes mig vara ett våld, som uppenbart var större än nöden kräfde. Och att han derför dömdes till två års straffarbete, kan näppeligen sägas vara för mycket — då straffet för dråp äfven under synnerligen förmildrande omständigheter är minst sex års straffarbete.</w:t>
        <w:br/>
        <w:br/>
        <w:t>Sedan kom ett annat fall: den person, som kom en annan till hjelp och med en stake tillfogade en person ett slag, så att denne dog. Jag antager, att detta händt före år 1890; ty hade det skett efter 1890, så hade domen stått i uppenbar strid med gällande lag, som säger, att »kommer någon dem till hjelp, som finnes i nöd stadd, efter ty förut sagdt är; vare ock för honom lag, som hade han sjelf i den nöd sig befunnit». Han hade således befogenhet att åberopa samma rätt till nödvärn som den slagne.</w:t>
        <w:br/>
        <w:br/>
        <w:t>Jag vill nu för min del anföra ett rättsfall. Det var tre ynglingar, som hade hat och afvoghet mot en annan. De passade på en qvällsstund och lockade honom in på en bakgata, der de kastade i kull honom och slogo honom med käppar. Den anfallne — han var sjöman — drog sin slidknif och högg en af de anfallande i bröstet, en annan i armen. Hugget i armen var icke farligt, men den, som fått hugget i bröstet, fick länge ligga på lasarett och fick för all framtid men af detsamma. Hvad gjorde nu domstolarne? De frikände honom helt och hållet. Så göra också våra domstolar i allmänhet nu för tiden; och innan man verkligen visat, att de tillämpa lagen hårdare, än skäligt är, tror jag, att en lagändring är öfverflödig. Jag vill visst icke förneka, att det af den siste talaren föreslagna tillägget är alldeles rigtigt, men jag tror icke, att det är behöfligt; ty domstolarne taga ändå dessa omständigheter i öfvervägande. Vill man göra detta tillägg, så gerna för mig, men jag tror, att det är onödigt.</w:t>
        <w:br/>
        <w:br/>
        <w:t>Jag vill slutligen fästa mig vid det rättsfall, som motionären åberopat. Som herrarne se, var det två personer, som voro ovänner och som kommo i slagsmål. Det började visserligen med, att Olsson våldförde sig på Andersson, men det finnes ingen antydan om, att han begagnade något lifsfarligt vapen, och är ej ens styrkt, att han, såsom Andersson uppgifvit, användt en messingsdosa. Det var helt enkelt ett vanligt slagsmål, och det syntes ej spår efter våld å Andersson. Deremot hade denne tillfogat Olsson flera knifhugg, nemligen två å den hårbeväxta delen af hufvudet, två i nacken, ett öfver venstra axeln, två i högra armvecket, ett å öfverarmens midt och ett öfver högra handleden. Det var icke heller den öfverfallne, som väckte talan, utan den, som fått de svåra knifhuggen, som förde ansvarstalan för våldet. I stället för att då ärligt tala</w:t>
        <w:br/>
        <w:br/>
        <w:t>om, huru det gått till nekade Andersson till våldet och tog således Ifrågasatt utsak på bak. Det oaktadt voro domstolarna milda. Häradsrätten stvlctnäng af frikände honom, hofrätten dömde honom visserligen till straff, men "Mite Kongl. Maj:t nedsatte detta till två månaders fängelse, d. v. s. en (Forts.) ringa bråkdel ar hvad straffet skulle hafva varit under normala för- | hållanden. Jag tror, att man måste erkänna, att domstolarne äfven i detta fall tagit all möjlig hänsyn till nödvärnsrätten.</w:t>
        <w:br/>
        <w:br/>
        <w:t>Enligt min uppfattning äro lagbestämmelserna i detta fall så tydliga och fullständiga, som de kunna vara. Det går icke an att söka specificera dem för alla möjliga fall, ty fallen äro mångskiftande ja skiftande på tusen olika sätt, och man kan icke få stadganden, som specifikt träffa de olika fallen, utan lagbestämmelserna måste vara allmänna. Man måste lita på, att domstolarne vid tillämpningen sökt träffa det rätta, och det är min öfvertygelse, att en rigtig praxis kommer att allt mer göra sig gällande, der den icke redan gjort det. En lagändring är således, enligt min åsigt, icke af behofvet påkallad, och jag tillåter mig derför yrka bifall till lagutskottets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