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900</w:t>
      </w:r>
    </w:p>
    <w:p>
      <w:r>
        <w:rPr>
          <w:b/>
        </w:rPr>
        <w:t xml:space="preserve">Datum: </w:t>
      </w:r>
      <w:r>
        <w:t>1901-05-14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Per Olsson (Bondeförbundet, man)</w:t>
      </w:r>
    </w:p>
    <w:p>
      <w:r>
        <w:rPr>
          <w:b w:val="0"/>
        </w:rPr>
        <w:t>Då jag förmodar, att kammarens samtliga ledamöter redan bildat sig en fast och orubblig ståndpunkt i den föreliggande frågan, har jag begärt ordet endast för att tillkännagifva, på hvilken sida jag kommer att ställa mig vid den slutliga voteringen.</w:t>
        <w:br/>
        <w:br/>
        <w:t xml:space="preserve">Afven med fara att drabbas af herr grefve Hamiltons gårdagsukas skall jag först be att få uttrycka mitt beklagande öfver att landets valmanskår icke varit i tillfälle att på det enda tillförlitliga sättet, nemligen vid valurnan, uttala sin mening i denna för vårt land så ytterst vigtiga fråga. Vid de senaste allmänna valen till Andra Kammaren visste man nemligen icke, att </w:t>
      </w:r>
      <w:r>
        <w:rPr>
          <w:b/>
        </w:rPr>
        <w:t>hon²</w:t>
      </w:r>
      <w:r>
        <w:rPr>
          <w:b w:val="0"/>
        </w:rPr>
        <w:t xml:space="preserve"> skulle föreläggas Riksdagen redan under innevarande treårsperiod. Genom ett antagande af föreliggande förslag skulle emellertid vårt folk påläggas bördor utaf den mest tryckande beskaffenhet, vid hvilket förhållande rättvisan enligt mitt förmenande kräfver, att det, så långt vår nuvarande riksdagsordning medgifver, skall höras öfver förslaget i fråga; och jag skall be att få säga herr grefve Hamilton, med anledning af hvad han yttrade om att man icke kan i hvarje fråga springa och rådgöra med valmännen, att det här gäller en fråga, som kanske är den allra största af dem, som förelegat Riksdagen till afgörande efter representationsreformens genomförande, och att det här sålunda gäller en fråga af undantagsnatur.</w:t>
        <w:br/>
        <w:br/>
        <w:t>Redan af denna anledning kan jag för min del icke med min röst bidraga till ett beslut vid denna riksdag, utan måste ställa mig på deras sida, som yrka uppskof.</w:t>
        <w:br/>
        <w:br/>
        <w:t>Men, mina herrar, äfven om jag vore öfvertygad om att mina valmän i främsta rummet vore villiga att påtaga sig de stora bördor, som detta förslag har med sig, och hvilka säkerligen blifva betydligt större än hvad som framgår af detta betänkande, skulle jag ändock icke kunna rösta för detsamma i den ena eller andra formen, sådan ställningen nu är. Jag hyser nemligen i likhet med flere talare, hvilka förut under debatten här uppträdt, den</w:t>
        <w:br/>
        <w:br/>
        <w:t>uppfattningen, att en sådan väsentligt förändrad härorganisation måste föregås eller åtföljas utaf vissa förut under debatten framhållna reformer och att, såsom åtskilliga andra talare framhållit, dessa reformer icke få uppskjutas till en aflägsen, kanske aldrig uppnåelig framtid.</w:t>
        <w:br/>
        <w:br/>
        <w:t>När genom ett antagande utaf ett sådant härordningsförslag ganska stora, för att icke säga rent af afskräckande kostnader komma att drabba vårt folk, så anser jag, att dessa kostnader böra så fördelas, att de trycka någorlunda jemnt på landets alla samhällsklasser. Endast på det sättet kan det vara möjligt för folket att bära bördorna utan att digna under desamma. Jag anser derför, att ett sådant förslag bör genomföras endast i sammanhang med en sådan skattereform, och den riksdagsman, som tager sitt riksdagsmannauppdrag på det sättet, att han vill värna äfven om de smås rätt och bästa, kan icke med godt samvete rösta för ett sådant förslag nu, men uppskjuta skattefrågan till en aflägsen framtid.</w:t>
        <w:br/>
        <w:br/>
        <w:t>I likhet med herr von Friesen och flere talare med honom anser jag äfven, att frågan om en utvidgning af den politiska rösträtten står i ganska nära sammanhang med denna fråga. Om den förbättrade arméorganisation, man vill införa, skall motsvara förväntningarna, är det nödvändigt, att den nya armén består af ett folk, som är medvetet om och lifvas vid tanken på att ega medborgarrätt i det land, det går att försvara. Det bör derför vara någonting eftersträfvansvärdt för alla, som önska, att värnpligten skall fullgöras icke med tvång utan med lust, att medverka till denna frågas lösning i sammanhang med värnpligtsfrågan. Visserligen yttrade herr professor Carlson i går och efter honom herr grefve Hamilton, att en rätt lösning af rösträttsfrågan icke kan åstadkommas genom en sammankoppling, på sätt här af flere talare framhållits. Men jag vill säga herrarne, att man behöfver vara hvarken professor eller landshöfding för att klart och tydligt inse, att, om Andra Kammaren vid detta tillfälle troget hölle på sin rätt och sina fordringar, vi skulle få alla dessa reformer lösta inom en icke så aflägsen framtid och detta till och med utan att behöfva sätta knifven på Första Kammarens strupe, såsom det yttrades af en talare på stockholmsbänken för ett år tillbaka.</w:t>
        <w:br/>
        <w:br/>
        <w:t>Nu säger man: alla dessa reformer kan man få lösta efteråt, de böra för visso icke sammankopplas med denna fråga. Första Kammaren, heter det, har i form af skrifvelseförslag, löften, anbud och ho vet allt hvad, uttalat sig så väl för det ena som det andra. Icke har jag varit så länge vid riksdagen och deltagit i det politiska lifvet, men dock så pass, att jag vet, hvilket värde man skall tillmäta sådana löften och försäkringar. Jag för min del vågar icke lita på sådant, och detta mest derför, att den nuvarande Riksdagens sammansättning, äfven Andra Kammarens, icke alls gifver mig någon säkerhet för att dessa löften skola komma att infrias.</w:t>
        <w:br/>
        <w:br/>
        <w:t>Dessutom är en af dessa reformfrågor af så allvarlig och svårlöst beskaffenhet, nemligen skattefrågan, att det mer än väl behöfves, om jag så får uttrycka mig, ett påtryckningsmedel för att få denna fråga löst inom rimlig framtid och löst på ett sätt, som tillfredsställer folkets kraf.</w:t>
        <w:br/>
        <w:br/>
        <w:t>Hvad skall nu resultatet blifva inom denna, som det så vackert heter, »folkvalda kammare»? Att döma af åtskilliga tecken under den redan förda diskussionen vill det synas, som om en del landtmän icke skulle ämna lyssna till de varningsord, som reservationsvis framhållits ej mindre af ett par ledamöter från den sida jag tillhör än äfven af hvad jag skulle vilja kalla kärnmännen från det gamla landtmannapartiets dagar. Det ser ut, som om landtmännens häfdvunna betänksamhet, då det gäller dryga pålagor, och dessas benägenhet att först noga pröfva grunderna för och behofvet af desamma, skulle vid detta tillfälle få träda åt sidan samt ett definitivt beslut fattas redan vid denna riksdag. Jag vill emellertid tillkännagifva, att jag icke kan ansluta mig till den falangen. Jag önskar att vara en bonde och en bondes son icke blott då jag går hemma vid plogen, utan äfven här i riksdagen. Jag skall derför på nu anförda skäl be att få förena mig med dem, som påyrka uppskof.</w:t>
      </w:r>
    </w:p>
    <w:p>
      <w:pPr>
        <w:pStyle w:val="Heading2"/>
      </w:pPr>
      <w:r>
        <w:t>2. David Holmgren (–, man)</w:t>
      </w:r>
    </w:p>
    <w:p>
      <w:r>
        <w:rPr>
          <w:b w:val="0"/>
        </w:rPr>
        <w:t>Måhända låter jag ett utmärkt tillfälle att tiga gå mig ur händerna, då jag begagnar mig af det ord, herr talmannen lemnat mig, för att uttala mig i en fråga af så utomordentligt stor räckvidd och betydelse som den föreliggande. Men tystnaden är farlig, emedan den ljuger som en ansigtsmask ; och det tillkommer icke medlemmar af svenska folket, än mindre folkombud, att tiga i slika fall som det föreliggande.</w:t>
        <w:br/>
        <w:br/>
        <w:t>Jag skall derför börja med att uttala det, att jag icke kan, på grund af några skäl, som jag vill anföra, bidraga till lösningen af den föreliggande frågan på sätt Kongl. Maj:t och utskottet föreslagit. Jag skall emellertid icke taga herrarnes uppmärksamhet i anspråk under många minuter, således icke anställa någon som helst kritik öfver det föreliggande förslaget hvarken från militärisk eller finansiel synpunkt; det första derför att man har nästan låtit det blifva ett axiom, att ingen utom militärerna eller fackmännen eger någon som helst rätt att yttra sig rörande den sidan af saken. Dessa anspråk måste naturligtvis tillbakavisas, emedan de icke förtjena minsta afseende. Ifrån finansiel synpunkt är så mycket mindre skäl att uttala sig i frågan, som den torde vara temligen utredd för dem, som hafva sysselsatt sig med den till oss lemnade finansplanen. Hvad som under alla omständigheter är visst, det är, att man icke gerna kan besluta sig för en så allvarlig organisation utan att hafva klart för sig bekostningen; och det är ju alldeles</w:t>
        <w:br/>
        <w:br/>
        <w:t>ostridigt, att någon klarhet i detta fall icke förefinnes. Emellertid äro många utaf vårt svenska folk hypnotiserade af detta tal om de slumrande milliarderna, och under inflytelsen af denna hypnos anse de, att vårt folk har råd till allt, äfven de största uppoffringar, i den sak, hvarom fråga är.</w:t>
        <w:br/>
        <w:br/>
        <w:t>Jag skall tillåta mig att se saken blott från politisk synpunkt. Hvarför har denna fråga framkommit just nu? Jo, man säger, att vårt land är i fara; man säger, att Hannibal står utanför portarne, och man vill forcera sakens lösning icke minst derför, att frågan, som man säger, förelegat nu i trettio år utan att vinna en tillfredsställande lösning. Jag bestrider detta påstående. Försvarsfrågan, mina herrar, har förelegat icke i 30, utan i 500 år. Ty ingen stat har funnits, der icke försvarsfrågan eller värnandet af statens frihet och sjelfständighet gent emot grannarne alltid varit en aktuel fråga. Således, detta tal om att frågan förelegat så länge förtjenar icke heller något afseende. Dessutom vill jag fästa uppmärksamheten derpå, att vid urtima riksdagen år 1892 utaf regeringen och utaf dåvarande statsrådet och chefen för landtförsvarsdepartementet förklarades, att den härorganisation, som då antogs, vore en lösning af försvarsfrågan. Han förklarade inför Riksdagens Andra Kammare, att svenska folket icke på mångfaldiga år, åtminstone ingen som då fans i denna kammare, skulle komma att vara med om mera än 90 dagars öfning, och han förklarade, att om åt våra värnpligtige bestämdes 90 dagars öfning, vi hade en fullkomligt stridsduglig armé, hvarmed vi kunde värna vår frihet och sjelfständighet. Vid sådant förhållande kom det något oförmodadt och brådstörtadt, detta förslag att öka öfningstiden och höja den till fyra gånger den 1892 beslutade öfningstiden. Ingen kan undra öfver, att det svenska folket, som invaggat sig i den tron, att det har ett någorlunda godt försvar för sin trygghet och värnandet af sin neutralitet, blifvit öfverraskadt öfver att förnimma, att detta försvar är komplett odugligt, och att vi endast genom att öka öfningstiden för våra värnpligtige och antaga en fullständigt ny härordning kunna försvara rikets sjelfständighet och frihet.</w:t>
        <w:br/>
        <w:br/>
        <w:t>Jag anser det politiskt oklokt att begära, att den folkvalda kammaren skall, utan att landet och folket, som dock i sista hand sjelf har sitt öde i sina händer näst den, som bor i högan loft och till hvilken det i går vädjades såsom den, som kan försvara sitt folk, fått uttala sig, fatta beslut i denna för folket så vigtiga lifsfråga. Jag anser det ej vara politiskt klokt att, utan att folket blifvit hördt och utan att det fått sjelf afgöra denna sak, fordra af detsamma sådana offer, som det föreliggande förslaget kräfver.</w:t>
        <w:br/>
        <w:br/>
        <w:t>Jag anser vidare, att vi genom antagande af vare sig Kongl. Maj:ts förslag eller utskottets förslag skulle slå in på en väg, der vår ungdom skulle blifva i moraliskt hänseende depraverad. Jag har fått uppbära många förebråelser för, att jag hyser denna uppfattning. Men det kan ej hjelpas. Om herrarne än vilja komma</w:t>
        <w:br/>
        <w:br/>
        <w:t xml:space="preserve">med de allra mest heliga bedyranden derom, att kasernlifvet ej skulle vara i sedligt hänseende depraverande, så ställer sig dock deremot omdömet af alla dessa </w:t>
      </w:r>
      <w:r>
        <w:rPr>
          <w:b/>
        </w:rPr>
        <w:t>mödrar²</w:t>
      </w:r>
      <w:r>
        <w:rPr>
          <w:b w:val="0"/>
        </w:rPr>
        <w:t xml:space="preserve"> och fäder, som af egen erfarenhet funnit, att det är skilnad mellan att få behålla sina söner hemma i arbete och möda under familjelifvets skyddande inflytelser och att sända dem till kasernen. Och hvilka försäkringar och bedyranden som officerarne och regeringen än må lemna mot erfarenheten, som är den bästa </w:t>
      </w:r>
      <w:r>
        <w:rPr>
          <w:b/>
        </w:rPr>
        <w:t>lärarinnan³</w:t>
      </w:r>
      <w:r>
        <w:rPr>
          <w:b w:val="0"/>
        </w:rPr>
        <w:t>, kunna de dock ej kämpa i längden.</w:t>
        <w:br/>
        <w:br/>
        <w:t>Från ekonomisk synpunkt anser jag också förslaget oantagligt. Härvid fäster sig min uppmärksamhet företrädesvis vid att, såsom skalden har sagt, vårt land är fattigt och skall så bli för den, som guld begär. Om man tar hänsyn till, att den sluter bästa freden, som har den sista riksdalern qvar i pungen, såsom den store Napoleon sade, och om man tager hänsyn till, att England, Tyskland och Frankrike hafva en nationalförmögenhet, som är fyra, fem gånger så stor som vårt lands, så framträda de bördor, som man nu vill att vi skola påtaga oss, så mycket mera stora och tryckande, som vi bo under klimatiska och lokala förhållanden, hvilka betinga en relativt större kostnad, om vi inrätta oss på samma sätt som de stora kulturländerna.</w:t>
        <w:br/>
        <w:br/>
        <w:t xml:space="preserve">Jag skall nu ytterligare blott säga några ord med fästadt afseende på några yttranden, som i går fäldes af en talare på östgötabänken, hvilken för sitt varma anförande fick mycken anslutning i kammaren. Han vände våra blickar till bröderna på andra sidan Bottenhafvet och erinrade om hvad de varit för oss och hvad de nu fått lida och genomgå. Han hänvisade tillika derpå,att våra landtvärnsmän, som dukade under i den ojemna kampen, gjorde detta derför, att de hade otillräcklig öfning. Jag lärde i min barndom och har bibehållit den kunskapen från historien, som är lifvets </w:t>
      </w:r>
      <w:r>
        <w:rPr>
          <w:b/>
        </w:rPr>
        <w:t>lärarinna³</w:t>
      </w:r>
      <w:r>
        <w:rPr>
          <w:b w:val="0"/>
        </w:rPr>
        <w:t>, att det ej var af brist på öfning som dessa gingo under, utan att de fröso i hjel och svulto i hjel. Vidare hafva vi under de sista åren inhemtat, att spanjorerna, som hade två års öfning, dukade under för amerikanarne, som icke hade någon öfning alls, och detta derför att spanjorerna saknade bröd, men amerikanarne deremot hade både mat och pengar.</w:t>
        <w:br/>
        <w:br/>
        <w:t>Om också försvarsfrågan kan sägas vara en stor fråga, torde dock den store statsmannen och tänkaren Bismarck haft rätt, då han sade, att af alla stora frågor är nog matfrågan den största.</w:t>
        <w:br/>
        <w:br/>
        <w:t>En högt ärad talare på gotlandsbänken, herr biskop von Schéele, förde oss i går i andanom till riddarhuset och återkallade i minnet decemberdagarne från 1865. Han talade eldigt om fosterlandskärlek, ville låta denna fosterlandskärlek framträda i glödande form och manade oss till offervillighet för vårt försvar. Jag vill först och främst fästa den högt ärade talarens uppmärksamhet på, att den 6 december 1865 var det på riddarhuset fråga om, att ridderskapet och adeln skulle hänga upp de anborna vapensköldarne</w:t>
        <w:br/>
        <w:br/>
        <w:t xml:space="preserve">i minnets ljusa tempelgårdar för att der beskådas af efterkommande. De behöfdes, dessa vapensköldar, icke mer i striden mot yttre fiender. Värdet af dessa sköldar är jag icke mägtig att bedöma, men här är emellertid icke fråga om att hänga upp några vapensköldar eller bringa ett dylikt platoniskt offer, utan här är fråga om att lägga bördor på svenska folkets söner, bördor, som de icke sjelfva varit med om att besluta och som de icke veta, hvarför de skola påläggas dem. Fosterlandskärleken, herr biskop von Schéele, är icke någon åsigt, det är en instinkt, och det är derför alldeles sjelffallet, att dessa tusenden, ja tiotusenden af söner och </w:t>
      </w:r>
      <w:r>
        <w:rPr>
          <w:b/>
        </w:rPr>
        <w:t>döttrar²</w:t>
      </w:r>
      <w:r>
        <w:rPr>
          <w:b w:val="0"/>
        </w:rPr>
        <w:t xml:space="preserve"> till statkarlar, torpare och fattiga hemmansegare hafva en annan syn på tingen och på fosterlandet än de, som sitta med tolf eller femton tusen kronor i lön. De hafva icke så stora inteckningar i fosterlandet, att man af dem kan fordra denna glödande fosterlandskärlek, men kanske klappar under deras vadmalströja ett lika fosterlandsälskande hjerta som hos hvilken som helst annan, som lefver under lyckligare förhållanden. De gå öfver Atlanten för att skaffa bröd att dermed underhålla sina hungrande och af tungt arbete utmattade föräldrar. Och icke kan man döma dem för det. Hvad bjuder man dem nu, för att de skola försvara fosterlandet, för att de ryckas från detta hem, från far och </w:t>
      </w:r>
      <w:r>
        <w:rPr>
          <w:b/>
        </w:rPr>
        <w:t>mor²</w:t>
      </w:r>
      <w:r>
        <w:rPr>
          <w:b w:val="0"/>
        </w:rPr>
        <w:t xml:space="preserve">, för hvilka de vilja arbeta? Jo, man bjuder dem 10 eller 20 öre och en dagportion af 52 öre, under det man för en häst bjuder 1 krona. Mina herrar! Vi må tänka hvad som helst, men folket tänker: detta är ett hån. Och jag får säga, att jag nästan tänker detsamma. Nej, vi skola bedöma fosterlandskärleken på annat sätt, och jag vet, mina herrar, att hos dessa många tusenden, som gått dit öfver Atlanten, hos dem finnes kärlek till de kullar, som äro uppkastade öfver deras fäders och </w:t>
      </w:r>
      <w:r>
        <w:rPr>
          <w:b/>
        </w:rPr>
        <w:t>mödrars²</w:t>
      </w:r>
      <w:r>
        <w:rPr>
          <w:b w:val="0"/>
        </w:rPr>
        <w:t xml:space="preserve"> grafvar. Vi få sålunda icke misskänna dem.</w:t>
        <w:br/>
        <w:br/>
        <w:t>Det var i går en ärad talare på stockholmsbänken, som inväfde sig i ett slags eliasmantel och höll ett tuktans tal för denna kammares ledamöter mot kompromissande och sammankopplande af försvarsfrågan med andra frågor. Det var herr grefve Hamilton. Han gjorde till och med något högst ovanligt i denna kammare. Han bhöll auktion. Han sade: »Det är två bud. Skilj eder åt!» Det är ovanligt, att här hålles auktion, men ännu ovanligare är att hafva en så nobel utropare som grefve Hamilton. Om man läser grefve Hamiltons reservation vid 1892 års urtima riksdag, måste man förvåna sig öfver, att grefve Hamilton nu kunde så strängt bedöma de reservanter, som vilja uppställa några vilkor för att gå med på det nu föreliggande förslaget, då ju grefve Hamilton då var med om slika vilkor. Herr grefve Hamilton sade, att det icke var något härordningsförslag, som antogs 1892. Detta bestrides, icke af mig, men af dåvarande statsrådet och chefen för kongl. landtförsvarsdepartementet, som säger:</w:t>
        <w:br/>
        <w:br/>
        <w:t>»När dessutom denna armé och denna arméorganisation är</w:t>
        <w:br/>
        <w:br/>
        <w:t>lättare att komma till än hvarje annan arméorganisation, som här blifvit ifrågasatt; när det nya, man skulle komma till, icke är längre aflägset från våra blickar, än att vi kunna se, huru det skall komma att taga sig ut; när det gamla är väl kändt; när armén, om man godkänner detta förslag, med hvarje år kommer att bli allt starkare och starkare — det förekommer icke något hopp i förändringen eller något, rörande hvilket man icke känner, huru det skulle komma att taga sig ut, utan det blir en armé, hvars beskaffenhet, när målet en gång är nådt, vi redan känna; det blir en armé, genom hvilken vi kunna värna vårt fosterland, — så tycker jag också, att man bör antaga detta förslag.</w:t>
        <w:br/>
        <w:br/>
        <w:t>Efter hvad jag yttrat, bör det icke förvåna herrarne, om jag slutar med att ställa en ur djupet af mitt hjerta gående bön till eder alla att godkänna detta förslag. Gören I detta, så skolen I vinna det målet, att vårt fosterlands oberoende är tryggadt. I skolen helsas med tacksamhet af hela eder samtid, af alla i landet, och I skolen välsignas af edra barn och edra efterkommande.»</w:t>
        <w:br/>
        <w:br/>
        <w:t>Det är icke fullt 9 år, sedan detta yttrades, och hurudan välsignelsen af våra barn och barnbarn blifvit, det höra vi nu af många i denna kammare. Jag ville för min del icke deltaga i den glädje, som då påstods skola blifva en frukt af 1892 års beslut, men visst är emellertid, att man då var öfvertygad om, att det var ett verkligt härordningsförslag och icke ett första steg till det mål, dit man nu vill komma.</w:t>
        <w:br/>
        <w:br/>
        <w:t>Herr talman! Af hvad jag nu yttrat framgår alldeles gifvet, att jag icke kan vara med om det nu föreliggande förslaget eller komma att med min röst bidraga till en lösning i den rigtning, som angifves i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