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919</w:t>
      </w:r>
    </w:p>
    <w:p>
      <w:r>
        <w:rPr>
          <w:b/>
        </w:rPr>
        <w:t xml:space="preserve">Datum: </w:t>
      </w:r>
      <w:r>
        <w:t>1902-05-07</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Maximilian Schenström (Lantmannapartiet, man)</w:t>
      </w:r>
    </w:p>
    <w:p>
      <w:r>
        <w:rPr>
          <w:b w:val="0"/>
        </w:rPr>
        <w:t>Herr talman! Förevarande motion af herrar Hammarlund och Berg, som enligt min åsigt är af verklig nationel betydelse, synes mig hafva blifvit något snäft behandlad af utskottet. Detta yttrar å sid. 127, bland annat, följande: »Hvad till stöd för förslaget blifvit af motionärerna anfördt synes utskottet vara beaktansvärdt. Derest lämpliga anordningar kunde vidtagas för att i vidare kretsar af befolkningen utbreda färdighet i tillagning af sund och kraftig föda, i synnerhet af sådan beskaffenhet, att densamma lämpar sig för den kroppsarbetande befolkningens ekonomiska vilkor, skulle tvifvelsutan dessa anordningar medföra sådant gagn, att desamma vore väl förtjenta att af staten uppmuntras.» Men här är väl ändå fråga om någonting annat än blott och bart matlagning, ty motionen afser ju statsunderstöd för undervisning i huslig ekonomi vid folkskolor.</w:t>
        <w:br/>
        <w:br/>
        <w:t xml:space="preserve">Nu är det så, att alltför många af vårt lands husmödrar icke förstå att sköta om sina hem; och derom är icke så mycket att säga, då de ju äro barn af sin tid; men de äro ej heller så skickade att i detta afseende vägleda sina </w:t>
      </w:r>
      <w:r>
        <w:rPr>
          <w:b/>
        </w:rPr>
        <w:t>döttrar²</w:t>
      </w:r>
      <w:r>
        <w:rPr>
          <w:b w:val="0"/>
        </w:rPr>
        <w:t>, och derför är behöfligt, att våra skolor träda emellan och att der anordnas undervisning i buslig ekonomi. Så har med stor fördel skett i flere af våra grannländer. Hvad det här gäller är att söka skapa trefnad i hemmet, väcka känsla för detsamma; och komma vi en gång derhän, tror jag också, att vi skola i vårt land mera allmänt, än som nu är fallet, lära oss att äfven älska det stora hemmet, fosterlandet.</w:t>
        <w:br/>
        <w:br/>
        <w:t>Men jag skall lemna denna sida af saken och i stället vidröra något annat, som kanhända mera lämpar sig för vår praktiska tid. Jag läste nemligen för några år sedan i tidningarna en redogörelse för ett sammanträde af bruksegare å jernkontorets lokal här i Stockholm. Det var der en disponent för ett af våra största bolag, hvilken höll ett föredrag, deri han sökte utröna orsaken till, att vårt lands arbetare i allmänhet icke kunde åstadkomma en arbetsprodukt, som svarade mot hvad arbetarne i åtskilliga andra länder kunde lemna. Han anförde, bland annat, hurusom svenska ingeniörer, som komma hem från Amerika, äro så godt som förtviflade öfver, att arbetarne på våra verkstäder icke förmå arbeta</w:t>
        <w:br/>
        <w:br/>
        <w:t>något motsvarande hvad dessa ingeniörer varit vana vid i Amerika, och samma iakttagelse har äfven gjorts af från Amerika hemkommande svenske arbetare, hvilka likväl efter en kort tid ej arbeta mera än de andra. Han nämnde, hurusom man haft många funderingar öfver, hvad orsaken till detta förhållande kunde vara, samt att man slutligen kommit på den tanken, att anledningen kunde ligga deruti, att arbetarne ej fingo tillräckligt kraftig föda. Under antagande, att denna gissning vore rigtig, hade ifrågavarande stora bolag börjat att vid några af sina större industrietablissement inrätta skolkök, och resultaten af dessa hade varit så goda, att bolaget anordnat skolkök på alla sina bruk och inrättningar.</w:t>
        <w:br/>
        <w:br/>
        <w:t xml:space="preserve">Nu anser utskottet emellertid, att en utredning af förevarande fråga skulle vara erforderlig. Men det förefaller mig något egendomligt, hvarför just, när det är fråga om inrättande vid folkskolor af skolkök, utredning skall vara behöflig. Motionärerna hafva ju icke begärt något annat, än att ett visst extra anslag skulle i detta hänseende beviljas. För en kort stund sedan hafva vi, utan att någon föregående utredning ifrågasatts, bifallit begäran om anslag till inrättande af skolkök vid våra högre </w:t>
      </w:r>
      <w:r>
        <w:rPr>
          <w:b/>
        </w:rPr>
        <w:t>flickskolor²</w:t>
      </w:r>
      <w:r>
        <w:rPr>
          <w:b w:val="0"/>
        </w:rPr>
        <w:t>. Hvarför skulle det då icke gå för sig att äfven här göra på samma sätt och direkt bevilja anslag för folkskolornas räkning? För min del skulle jag således helst se, att någon föregående utredning icke behöfde ifrågakomma, men, herr talman, jag har, åtminstone för närvarande, intet yrkande att framställa.</w:t>
      </w:r>
    </w:p>
    <w:p>
      <w:pPr>
        <w:pStyle w:val="Heading2"/>
      </w:pPr>
      <w:r>
        <w:t>2. Emil Hammarlund (–, man)</w:t>
      </w:r>
    </w:p>
    <w:p>
      <w:r>
        <w:rPr>
          <w:b w:val="0"/>
        </w:rPr>
        <w:t xml:space="preserve">I likhet med den föregående ärade talaren skulle äfven jag naturligtvis hafva helst sett, att utskottet tillstyrkt motionen i större omfattning, än som skett, och att sålunda Riksdagen redan nu direkt beviljat anslag för det ifrågavarande ändamålet i stället för att besluta en skrifvelse. Motionärerna hafva begärt ett anslag af 50,000 kronor för anordnande af skolkök vid folkskolorna, hvilket anslag skulle utdelas »efter enahanda grunder som de af Kongl. Maj:t föreslagna beträffande dylikt statsunderstöd till högre skolor för qvinlig ungdom och vissa samskolor&gt;. När nu statsutskottet föreslagit den ändring uti dessa af Kongl. Maj:t uppstälda vilkor, att dylikt statsbidrag å 500 kronor till ett skolkök vid högre </w:t>
      </w:r>
      <w:r>
        <w:rPr>
          <w:b/>
        </w:rPr>
        <w:t>flickskola²</w:t>
      </w:r>
      <w:r>
        <w:rPr>
          <w:b w:val="0"/>
        </w:rPr>
        <w:t xml:space="preserve"> skall utgå, endast om kommuner eller enskilda lemna lika stort bidrag — hvilken föreslagna ändring nyss blifvit af kammaren bifallen — skulle man väl hafva kunnat vidtaga samma ändring här, då det är fråga om skolkök vid folkskolor.</w:t>
        <w:br/>
        <w:br/>
        <w:t>Men detta är ju en enskild motion, och en sådan går, förstås, icke lika lätt igenom som en kongl. proposition. Den vanliga tågordningen, när en enskild motionär föreslår någonting, som befinnes i någon mån beaktansvärdt, är ju den, att man först beslutar en skrifvelse till Kongl. Maj:t med begäran om &gt;»utredning&gt;, och först sedan sådan åstadkommits, kan man få saken definitivt af-</w:t>
        <w:br/>
        <w:br/>
        <w:t>Jag får väl nöja mig med, att så sker också i detta fall. Men då herr ecklesiastikministern nu är här närvarande, vill jag uttala den förhoppning, att utredningen måtte verkställas snarast möjligt, så att man redan nästa år kan fatta definitivt beslut i ärendet. I denna förhoppning ber jag att få yrka bifall till utskottets hemställan, tacksam för det understöd, motionen rönt från utskottets sida.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919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