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w:t>
      </w:r>
    </w:p>
    <w:p>
      <w:r>
        <w:rPr>
          <w:b/>
        </w:rPr>
        <w:t xml:space="preserve">Datum: </w:t>
      </w:r>
      <w:r>
        <w:t>1903-01-24</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Uti gamla tider var det ju en trosartikel, att staten skulle vara allas mjölkko, och ännu i våra dagar tillkomma ju genom lämnade privilegier förmåner åt vissa håll utan att förutsättningarna för dessa förmåners ernående uppfyllas.</w:t>
        <w:br/>
        <w:br/>
        <w:t>Att emellertid spelet »uppenbar orätt&gt; gent emot staten kunnat sättas i scen under det sista halfseklet, och detta med en utmärkt framgång, torde vara för många en öfverraskning.</w:t>
        <w:br/>
        <w:br/>
        <w:t>Samtidigt med att Trollhättans vattenkraft förspilles till ingen nytta under en lång utredning af frågan och ganska vackra anbud till dess nyttiggörande för industrien afböjas — allt i skenbart syfte af statens väl — så drifver ett närliggande bolag ett rent geschäft uti att bruka (eller missbruka) ett erhållet privilegium; och torde liknelsen om att sila mygg och svälja kameler här kunna vara på sin plats.</w:t>
        <w:br/>
        <w:br/>
        <w:t>Jag vill nu uppehålla mig vid det statsintresse, som heter Nya Trollhätte kanalbolag.</w:t>
        <w:br/>
        <w:br/>
        <w:t>Som jag emellertid lider af en ganska svår halskatarr, kanske det blir mig omöjligt att fullfölja mitt anförande, och i så fall ber jag på förhand om ursäkt.</w:t>
        <w:br/>
        <w:br/>
        <w:t>Nya Trollhätte kanalbolag är, som de flesta kanske veta, en fortsättning af ett gammalt bolag, som bildades i slutet af 1700- talet med ändamål att bygga en kanal vid Trollhättan för att få förbindelse mellan Vänern och Västerhafvet. När sedermera Göta kanal fullbordades, befanns det, att de slussar, som funnos vid Trollhättan, voro för små för sjöfarten och därför måste ombyggas. Som då det gamla bolaget var för svagt för att kunna åstadkomma den nya kanalbyggnaden trots det understöd, som staten erbjöd sig att lämna, bildades ett nytt bolag, som fick det namn, jag nyss nämnde, Nya Trollhätte kanalbolag.</w:t>
        <w:br/>
        <w:br/>
        <w:t>Dess bildande föregicks af långvariga diskussioner och förhandlingar med fera olika affärsmän. Slutligen bildades emellertid det nya bolaget med grosshandlare Schwan i spetsen och öfvertog det gamla bolagets privilegier och ägendom emot skyldighet att lämna de förra aktieägarne viss ersättning och att anskaffa medel för kanalens fullbordande, hvarjämte staten förband sig att under 25 år betala 90,000 kronor årligen till kanalarbetena och dessutom lämna arbetskommendering m. m. Staten förbehöll sig dock, att de kronans fastigheter, som förut varit upplåtna till det gamla bolaget, jämväl skulle få disponeras af det nya bolaget, men skulle de sålunda af detsamma förvärfvade lägenheterna icke få från kanalverket afsöndras. Vid öfvertagandet fanns dock äfven annan jordägendom, som icke var kronans, utan af annan juridisk natur.</w:t>
        <w:br/>
        <w:br/>
        <w:t>Arbetena började därefter och voro efter några få års förlopp fullbordade. På 1840-talet framhölls dock vid Riksdagen, att bolaget icke uppfyllt sina skyldigheter och gjort de aktie-inbetalningar, som</w:t>
        <w:br/>
        <w:br/>
        <w:t>ålegat detsamma. Däruti måtte ock ha legat någon sanning, ty kort efteråt sades det, att en af de ledande herrarne hade deponerat en half eller en hel million kronor för ändamålet, ehuru, som det sades, detta belopp togs tillbaka några dagar efteråt. Arbetena fullföljdes dock på ett genialiskt sätt, kanalen blef fullt användbar, och företaget visade sig vara en god affär. Därom är ju dock ingenting att säga, då det otvifvelaktigt var ledarnes förtjänst, att de lyckats genomföra arbetena. Det nya bolaget erhöll riklig ersättning för sin möda, då det, som sagdt, utan afdrag fick behålla inkomsten af kanalen under 25 års tid utöfver det direkta statsbidraget.</w:t>
        <w:br/>
        <w:br/>
        <w:t>Kronan hade emellertid förbehållit sig att efter 25 års lopp staten, sedan kanalbolaget fått 150,000 kronor om året, hvilket var en god ersättning för dess insats af nominellt elfva a tolfhundratusen kronor, skulle erhålla hela behållningen därutöfver. Dessa 150,000 kronor voro mer än 12 procent på det engagerade aktiekapitalet, således en riklig procent, och man kan därför säga, att de, som deltogo i affären, alltid skulle skörda en lysande vinst. Uti en officiell rapport, af hvilken jag tagit del, konstateras också, att bolaget redan 1858 hade fått tillbaka allt hvad det borde lagt ut.</w:t>
        <w:br/>
        <w:br/>
        <w:t>Efter år 1858 återstodo ännu 6 år, under hvilka bolaget fick de 90,000 kronorna i statsunderstöd, således 540,000 kronor plus hela intraden af kanalen, som belöpte sig till 200,000 åa 300,000 kronor per år.</w:t>
        <w:br/>
        <w:br/>
        <w:t>Bolaget gjorde alltså under denna mellantid en kolossal vinst på cirka dubbla aktiekapitalet. Under sådana förhållanden skulle man ej kunna tänka sig, att bolaget år 1863, då aktiekapitalet kanske återbetalats tre gånger genom vinster och anslag, borde kunnat uppfylla sina skyldigheter och lemnat staten hela öfverskottet öfver 150,000 kronor per år samt nöjt sig med den kolossala vinst, det redan gjort, äfvensom den mycket storartade årliga intraden, hvilket gjort det möjligt för bolaget att efter 5 å 6 år förnya aktiekapitalet? I början lät det också, som om bolaget skulle göra sin skyldighet, och den gamla ledaren, grosshandlaren Schwan, förklarade högtidligt i Riksdagen, att staten ju skulle hafva allt utöfver de 150,000 kronorna, och att det då kunde betyda mindre, om den ena eller den andra detaljen ordnades på det ena eller andra sättet. Detta var ju en korrekt tanke, och jag är ganska förvissad om, att de personer, som från början stodo i spetsen för företaget — hvilka voro stora finansmän med vid blick — icke hade någon annan tanke än att genomföra ett storartadt arbete, som lände fosterlandet till gagn, på samma gång som de för sin risk betingade sig en rättvis fördel. Men sedermera kommo de ledande männen att utgöras af personer med trängre vyer, men som voro finanspolitici, hvilka icke ville nöja sig med en kontraherad förtjänst, utan sökte förskaffa sig mera; och nu börjar spelet, som jag nyss tillät mig kalla för »uppenbar orätt.»</w:t>
        <w:br/>
        <w:br/>
        <w:t>Det var vid denna tid, som Bergslagsbanan skulle byggas, och därigenom steg en del af jordområdet vid Trollhättan betydligt i värde, då dels järnvägen där skulle gå fram, dels stora sandtag funnos å området och dels möjlighet uppstod att i anledning af</w:t>
        <w:br/>
        <w:br/>
        <w:t>banans framdragande byggnadsplatser skulle blifva erforderliga för industriella anläggningar m. m. Olyckan var emellertid, att dessa värdefulla områden voro kronans oafytterliga egendom, och detta utgjorde ett ganska betänkligt hinder, för att man skulle kunna börja ett orättmätigt exploaterande af marken. Men medlen äro mångahanda. Man arrangerade en landtmäteriförrättning, ett egoutbyte. Ett sådant hade ju kanske kunnat låta försvara sig, och det är mycket antagligt, att berättigade anledningar förefunnits för ett sådant egoutbyte; men säkert är, att hela denna landtmäteriförrättning verkställdes på ett sådant sätt, att den sedermera ansetts vara olaglig, ehuru därvid efter viss tids förlopp ingenting kunnat åtgöras.</w:t>
        <w:br/>
        <w:br/>
        <w:t>Det kvarstår då, att det juridiska berättigandet af bolagets af 1896 års Riksdag anmärkta förfarande hvilar på en i sig själf olaglig och orättfärdig grund, och för min del skulle jag därför gärna se, att det åter kunde rifvas upp.</w:t>
        <w:br/>
        <w:br/>
        <w:t>Efter detta skifte började bolagsmännen ytterligare se på saken, och man beslöt då att vidtaga arrangemanget med att föra dubbla räkenskaper. Det är att märka, att man vid utbytet af mark flyttade kronans värdefulla andel dels till en remsa vid kanalen, som kronan redan enligt de första privilegierna förvärfvat och således alls icke behöfde förvärfva, och dels utbytte öfriga värdefulla områden, deribland det bortförpantade s. k. Trollhätte skeppsdocka emot aflägse liggande utmarker af ringa värde. Detta skifte behandlades tydligen endast som ett vanligt jordutbyte. Hvad vidare beträffar den nyss omnämnda dubbla bokföringen, så meddelade 1867 års revisorer i sin revisionsberättelse, att vissa hemman förts öfver från det allmänna bokslutet till ett annat. Detta var således början till det dubbla bokslutet, och af denna juridiska person, Nya Trollhätte kanalbolag, gjorde man två juridiska personer. Huru detta låter försvara sig, öfverlåter jag åt domstolarne. Emellertid finns det nu två bolag, som äro detsamma och heta detsamma, och huru man tänker bära sig åt vid t. ex. deklaration i och för inkomstskatten, skall blifva af intresse att få se. Denna orimlighet har nu blifvit legaliserad. Den dåvarande justitiekanslern hade ingenting att anmärka mot bolagets tillvägagångssätt, då, som han utlät sig, statens rätt ej därigenom rubbades. Det torde förtjäna anmärkas, att bolaget hela tiden alltid användt våra förnämsta och skickligaste ämbetsmän 1 sin tjänst, hvilket det mycket lätt kunnat göra, då hvart enda öre till deras aflöning gått från sådana medel, som staten skulle haft. Det visade sig också, att kronans intrad, som började med omkring 100,000 kronor år 1864, mycket snart gick ned, så att den endast kom att utgöra omkring 30,000 å 40,000 kronor om året, till dess statsrevisorerna 1895 upptogo frågan, då årsleveranserna till staten genast märkbart ökades.</w:t>
        <w:br/>
        <w:br/>
        <w:t>De medel, som influtit till kronan, borde otvifvelaktigt hafva blifvit större, så vida icke bolaget förstått att tillgodogöra sig en del af det öfverskott, som skolat till kronan inbetalas på flere olika sätt. Sålunda har en del lyxoch byggnadsutgifter bestridts af</w:t>
        <w:br/>
        <w:br/>
        <w:t>de medel, som bort till statsverket inlevereras. Vidare hafva de fonder (utöfver den första obligatoriska fonden på 150,000 kronor), som bildats för att trygga aktieägarnes insats, till hvart enda öre tagits af statens medel. Sedan den i bolagsreglorna föreskrifna reparationsfond år 1869 stigit till det ursprungligen bestämda beloppet, förstod man att åt sig utverka Kungl. Maj:ts tillstånd att få fördubbla densamma på statens bekostnad. Men därefter växte aptiten än ytterligare, och man var nu berddd att söka tillskansa sig denna fond för att få disponera öfver densamma efter godtfinnande. Detta bolagets försök till kap fäste uppmärksamheten på bolaget från många håll, och jag tror nästan, att vår nuvarånde statsminister medverkade till, att försöket icke lyckades. Den obehagliga uppmärksamhet, bolagets ifrågavarande framställning väckte, hade emellertid till följd, att 1895 års statsrevisorer ägnade frågan en ingående behandling. Detta arbete utfördes närmast af mig jämte en annan riksdagsman, som nu är död, samt sekreteraren, och det resulterade i en inlaga till Riksdagen, hvilken godkände statsrevisorernas åsikt, att en utredning borde äga rum. Då jag alltså varit med om att taga initiativ till denna utredning, har jag ansett mig vara skyldig att på frågans nuvarande ståndpunkt söka rifva upp den, så att den icke blir begrafven.</w:t>
        <w:br/>
        <w:br/>
        <w:t>Hvarför jag ansett tidpunkten därtill nu vara inne, är, att den rättegång, som justitiekansleren Elliot jämte sitt juridiska biträde häradshöfding Rosenquist ansåg, att staten skulle inleda mot bolaget i anledning af Riksdagens utlåtande år 1896, först år 1902 blifvit afgjord af högsta domstolen. Frågan är därför nu så att säga akut.</w:t>
        <w:br/>
        <w:br/>
        <w:t>Anledningen till, att denna fråga nu är så ytterst allvarsam, är för öfrigt den, att man måste svara nej på den fråga, man gör sig, om Trollhätte kanalbolag gör den nytta för samfärdseln, som med dess anläggning var afsedd. Saken är så mycket beklagligare, som bolaget å sin sida icke gör någonting för kanalens utvidgning. Från vägoch vattenbyggnadsstyrelsen föreligger ett mycket förtjänstfullt utlåtande, af hvilket framgår, att det för utvecklande af trafikförbindelserna i dessa trakter är alldeles nödvändigt att utvidga kanalen och eventuellt utvidga den till en farled, som på ett helt annat sätt än för närvarande tillfredsställer krafvet på förbindelser. Af hvilken stor betydelse detta kraf verkligen är, kan man inhämta från Amerika, där vattenvägarne åter börjat anlitas i allt större utsträckning för det tunga godset, eller från Tyskland, där man kan komma in i hjärtat af landet genom de farleder, som äro anordnade på de stora floderna. Då man vidare vet, hvilka kostnader det medför att frakta fram det tunga godset från Värmlandstrakterna, och betänker hvilken betydelse goda trafikvägars öppnande måste äga, för att dessa varor skola kunna konkurrera på världsmarknaden, måste man beklaga, att våra inre vattenvägar i dessa trakter skola lämna så mycket öfrigt att önska. Den projekterade Sveakanalen uppåt Bergslagstrakterna har ock låtit vänta på sig allt för länge. Förhållandena äro allmänt tryckta, och ingen griper sig an med något.</w:t>
        <w:br/>
        <w:br/>
        <w:t>Därtill kommer, att Trollhätte kanalbolag genom sina höga</w:t>
        <w:br/>
        <w:br/>
        <w:t>propositionen. tariffer visat, att det icke följer med sin tid. Frågan om en ändring</w:t>
        <w:br/>
        <w:br/>
        <w:t>af tarifferna har varit före många gånger, men utan resultat. Jag kan t. ex. anföra tariffen å varan cement, som för närvarande ännu är ungefär lika hög, som den var för sjuttio år sedan, då cement var en tämligen sällsynt vara, af hvilken det fraktades genom kanalen kanske en 10 å 12 tunnor på hela året. Nu återigen har förbrukningen af "denna vara så stigit, att däraf fraktas hela båtaster.</w:t>
        <w:br/>
        <w:br/>
        <w:t>Då fråga väckes om en reducering af tarifferna, hvad svarar då bolaget? Jo, att detta är en fråga, som berörer statens intressen, hvilka bolaget naturligtvis måste skydda. Kanske fruktar man också, att en nedsättning skulle kunna inkräkta på bolagets egna intressen, och därför mötas alla dylika framställningar med ett bleklagdt nej. Bolaget drager sig icke för att låta höra denna klagolåt, ehuru det bereder sig en så kolossal vinst och icke drager i betänkande att tillskansa sig andra fördelar, än som rätteligen enligt min tanke borde tillkomma bolaget.</w:t>
        <w:br/>
        <w:br/>
        <w:t>Vidare har det visat sig, att äfven det sätt, på hvilket trafikanterna behandlas, är en sorts fiskalisering, som icke afsetts genom reglementet. Ju större trafiken blir, ju kännbarare blifva dessa olägenheter, och många af de fartygsbefälhafvare, som farit igenom kanalen, hafva haft stor anledning att beklaga sig öfver det sätt, hvarpå de blifvit behandlade. Det är rent af ett bönhaseri, som här äger rum emot trafikanterna.</w:t>
        <w:br/>
        <w:br/>
        <w:t>Den af Kungl. Maj:t och kronan emot bolaget anhängiggjorda rättegång, hvarom jag nyss nämnde, har nu gått igenom alla instanserna och öfverallt afgjorts till kronans nackdel. Hofrätten förklarade sålunda, att, då bolaget under den tid, det hade fri dispositionsrätt öfver det hela, kunde använda sin egendom och sina penningar för kanalens fullbordande, de nu böra anses som privategendom etc. Högsta domstolen förklarar också, att bolaget haft rätt att taga och göra af med alltsammans. Utslagets motivering lyder så: Som ostridigt vore, att de hemman, verk och lägenheter, å hvilkas afkomst Kungl. Maj:t och kronan i denna sak framställt anspråk, med full äganderätt tillhörde Trollhätte kanaloch slussverks bolag, då nådiga privilegier för Nya Trollhätte kanalbolag den 2 februari 1838 meddelats, samt hvarken innehållet af privilegier eller hvad i saken i öfrigt förekommit föranledde därtill, att Nya Trollhätte kanalbolag, sedan detsamma från det äldre bolaget förvärfvat äganderätten till nämnda hemman, verk och lägenheter, skulle vara skyldigt att låta någon del af desammas afkastning ingå i beräkningen af den behållna inkomst, hvarom i $ 9 af privilegiet förmäldes, pröfvade högsta domstolen rättvist fastställa det slut, hvartill hofrätten kommit, och biföll högsta domstolen nedre justitie revisionens hemställan beträffande kostnaderna å saken hos Kungl. Maj:t.</w:t>
        <w:br/>
        <w:br/>
        <w:t>i, Sedan högsta domstolens utslag nu fallit, är ställningen mellan staten och bolaget totalt ohållbar. På bolaget var den första verkan</w:t>
        <w:br/>
        <w:br/>
        <w:t>af utslaget den, att det nu i höstas privatim utdelade öfver en half = statsverks-</w:t>
        <w:br/>
        <w:br/>
        <w:t>Man kan nu med skäl fråga sig, huru statens intressen blifvit bevakade gent emot detta bolag. Visserligen föreligger en mycket sorgfällig utredning af justitiekansleren, hvilken icke alls förnekar riktigheten af statrevisorernas uppfattning. Men under hela denna rättegång har man icke från statens sida sett något kraftigare försök att skydda sina intressen, lika litet som man märkt, att statens ombud vid de föregående manipulationerna gjort hvad det borde hafva gjort. Icke heller har man sett, att civilministrarne gripit in på något kraftigare sätt, och att så icke skett, är ju ganska förklarligt, då åtminstone en af civilministrarne förut suttit som sekreterare — och ganska väl aflönad sekreterare för öfrigt — i bolagets styrelse och därvid naturligt nog hjälpt till att gifva bolagets åtgörande laglig form. Man kan ju under sådana förhållanden icke förundra sig öfver, att de icke visat någon ifver att rätta felaktigheter, som ägt rum.</w:t>
        <w:br/>
        <w:br/>
        <w:t>Naturligtvis är den praktiska väg, på hvilken man härvidlag skall skydda statens intressen, oberoende af alla juridiska förhållanden. Ett bolag bör ju skötas praktiskt, och man kunde väl hafva haft anledning vänta, att den af staten förordnade ordföranden skulle hafva reserverat sig emot de många beslut, som äro fattade och resulterat uti, att man afhändt staten betydande intrader. Men så vidt jag kunnat finna, har det icke en enda gång inträffat, att någon af ordförandena afgifvit en sådan reservation. Detta anser jag vara mycket beklagligt, ty oberoende af juridiska former och förhållanden, är det ju klart, att ett bolags affärer böra skötas fullt praktiskt.</w:t>
        <w:br/>
        <w:br/>
        <w:t xml:space="preserve">Jag skall be att få omnämna några saker, som enligt min uppfattning till fullo ådagalägga, att denna fråga har en moralisk sida, som förtjänar att lika mycket beaktas som den juridiska. Hade inga af bolagets hemman varit kronans, huru skulle då ett sådant skifte kunnat tänkas och huru skulle då en godtycklig gräns kunnat tänkas uppdragen mellan den jord, som borde bevaras för kanalverket, och den jord, som utan olägenhet därifrån skulle kunna afyttras? Sunda förnuftet säger ju, att, om bolaget önskat en sådan gräns, det bort gå till Kungl. Maj:t och gjort upp med Kungl. Maj:t, huru dessa gränser bort gå. Detta har bolaget emellertid icke gjort, utan bolaget har begagnat ett vanligt jordutbyte som utgångspunkt utan att någonsin begära Kungl. Maj:ts stadsfästelse på detta. Denna uppgörelse saknar hvarje spår af öfverenskommelse med Kungl. Maj:t, som skulle kunna berättiga, att den lades till grund för sådana konsekvenser, som bolaget dragit. Kronan skulle således komma i sämre juridisk ställning till bolaget därför att vissa hemman voro kronans egna, än </w:t>
      </w:r>
      <w:r>
        <w:rPr>
          <w:b/>
        </w:rPr>
        <w:t>hon²</w:t>
      </w:r>
      <w:r>
        <w:rPr>
          <w:b w:val="0"/>
        </w:rPr>
        <w:t xml:space="preserve"> eljest kunnat komma. Jag anser därför, att kronans rätt under hela denna tid icke bevakats så energiskt, som önskligt hade varit.</w:t>
        <w:br/>
        <w:br/>
        <w:t>Vägoch vattenbyggnadsstyrelsens utlåtande rörande Trollhätte kanals utvidgning, jämte det att högsta domstolens utslag i rättsfrågan nu fallit, ha föranledt mig att nu taga upp saken. Den löse-</w:t>
        <w:br/>
        <w:br/>
        <w:t>summa, som ifrågasättes för Trollhätte kanal, är i sagda utlåtande beräknad till icke mindre än 4 millioner kronor.</w:t>
        <w:br/>
        <w:br/>
        <w:t>Nu finnas bolagets fonder till belopp af en half million eller mera.</w:t>
        <w:br/>
        <w:br/>
        <w:t>Naturligtvis skola dessa fonder tlilfalla kronan vid inlösen af kanalverket.</w:t>
        <w:br/>
        <w:br/>
        <w:t>Efter högsta domstolens utslag skall staten komma i trakasserier, äfventyra att på nytt expropriera hvad som staten förut köpt eller lämnat bolaget. Till hvilket värde detta kommer att uppskattas, om det går så långt som till expropriation, därom vill jag ej yttra mig.</w:t>
        <w:br/>
        <w:br/>
        <w:t>Vidare är att märka, att om bolaget drar ut yttersta konsekvenserna af högsta domstolens dom, så kan det t. ex. säga, att alla boställen dragas in m. m. Hvar är gränsen? Man har genom detta utslag lämnat allt åt bolagets godtycke. Men jag påstår, att den juridiska synpunkten får ej ensamt vara den bestämmande.</w:t>
        <w:br/>
        <w:br/>
        <w:t>Bolaget är ju genom sin obestridda eventuella förmånsrätt till 150,000 kronor om året af inkomsten fullt tryggadt såsom affärsbolag.</w:t>
        <w:br/>
        <w:br/>
        <w:t>Det kan därför ej gärna tänkas, att privilegiets bestämmelser i öfrigt affattats på sätt, som skett med någon tanke på, att dessa nu skulle kunna åberopas såsom juridiskt stöd för att undertrycka bevakandet af statens intressen. Den frågan måste väl såsom andra dylika frågor behandlas praktiskt.</w:t>
        <w:br/>
        <w:br/>
        <w:t>Jag har velat säga detta för det första för att uttrycka min förundran öfver, att ej denna viktiga fråga redan tagits upp på dagordningen i konseljen, ty hvarje dag, som går, medför en allvarsam risk, och det är således nödvändigt att skrida till handling. Men jag har också velat gripa in af det skäl, att om ingen sagt något, så är jag förvissad därom, att Riksdagen skulle häpna öfver de siffror, som eljest skulle komma att möta den, alla byggda på högsta domstolens beslut och bolagets juridiska rätt. Men om herrarne följt med detta, så lära väl herrarna hafva funnit, att den moraliska rätten torde i detta fall vara lika stark, ja, starkare än den juridiska rätten, och jag fordrar, att den moraliska rätten skall användas till sin yttersta gräns, så att, när denna fråga kommer fram, den ej kommer i sådant skick, att den blir en riksskandal och ett Panama inom vårt land, hvilket ju vore högst beklagansvärdt.</w:t>
        <w:br/>
        <w:br/>
        <w:t>Då jag varit med om att taga upp denna sak, har jag ansett mig skyldig att försöka så mycket som möjligt slå på larmklockan, så att Kungl. Maj:t skall ha sin uppmärksamhet fästad på hvad som i denna fråga kommer att ske. Dessutom föreställer jag mig, att, då denna fråga otvifvelaktigt förr eller senare måste blifva föremål för regeringens uppmärksamhet, detta mitt uppträdande åtminstone skall åstadkomma, att frågan ej kommer att blifva hvilande allt för länge, utan snarast möjligt blifva föremål för åtminstone en preliminär uppgörelse, så att den kan hinna så långt, att intet annat återstår än slutfrågan: huruvida Riksdagen skall låta det gå till expropriation eller icke. Att staten bör blifva ägare till bolaget, är klart för alla, som hafva kännedom om dessa saker, och det är mycket</w:t>
        <w:br/>
        <w:br/>
        <w:t>viktigt att detta öfvertagande, som bör kunna göras utan ringaste</w:t>
        <w:br/>
        <w:br/>
        <w:t>uppoffring för staten och som således kan blifva en god affär, också göres. "Sedan jag nu redogjort för denna fråga, hade jag visserligen</w:t>
        <w:br/>
        <w:br/>
        <w:t>tänkt att kasta fram en liten paralell mellan det forcerade arbetet på Ofotenbanan och det arbete, som verkställts på Bohuslänsbanan. I ena fallet kastar man bort tiotals millioner för att tillmötesgå intressen, som egentligen icke äro statsintressen, och i det andra fallet bygges järnvägen med så liten tanke på hvart den skall taga vägen, att man hvarken vet, hvar den skall börja eller sluta, och att man ej i detalj bestämt, huru banan skall gå. Tills vidare skall den ju stanna vid Skee, men detta är ju en ohållbar situation.</w:t>
        <w:br/>
        <w:br/>
        <w:t>För närvarande vill jag emellertid icke vidare ingå på detta ämne.</w:t>
      </w:r>
    </w:p>
    <w:p>
      <w:pPr>
        <w:pStyle w:val="Heading2"/>
      </w:pPr>
      <w:r>
        <w:t>2. Eduard Ljungberg (Första kammarens protektionistiska parti, man)</w:t>
      </w:r>
    </w:p>
    <w:p>
      <w:r>
        <w:rPr>
          <w:b w:val="0"/>
        </w:rPr>
        <w:t>Det är ganska besynnerligt, att det här i landet finnes personer, och detta icke minst på höjderna, hvilka flitigt tala om nödvändigheten af unionens bevarande, men likväl ständigt i handling söka undergräfva den och fortskynda dess upplösning. Denna motsägelse mellan ord och handling röjer sig äfven i konsulatfrågan. Vi hörde ju vid den tid, då norska flaggfrågan afgjordes, att några framstående ledamöter af ministären förklarade: &gt;Ja, vi hafva visserligen varit svaga denna gång, men nästa gång, t. ex. då konsulatfrågan kommer före, skola vi ej vika en tum. Då skola vi stå fasta vid Sveriges rättigheter». Det är ju möjligt, att sådant ännu kan blifva fallet, men hittills hafva vi ej hört något däraf. För att skyndsamt tillfredställa de norska separatisterna — desamma som bygga fästningar mot sin förbundsbroder och sedan vilja hafva betaldt för dem genom att lägga tull på vår för Norge inbringande malmexport — har man icke tid att erinra sig hvarken Riksdagens eller sina egna uttalanden, icke heller att inhämta sakkunniga korporationers eller myndigheters utlåtande i frågan. I underdånig skrifvelse den 14 april 1893 uttalade Riksdagen sin tvekan om nyttan och nödvändigheten af en skilsmässa i konsulatväsendet och uttryckte tillika den åsikten, att, »om denna skilsmässa skulle komma under ompröfning, så borde i sammanhang därmed sättet för de diplomatiska ärendenas behandling tagas i öfvervägande.» Detta uttalande återupprepades ord för ord i en ny riksdagsskrifvelse af den 15 maj 1895. Men hvad har blifvit af denna förklaring? Hvad har man gjort i anledning däraf? Man har blott upptagit den ena frågan — och hvarföre? Jo, därföre att det ej konvenerade norrmännen att behandla båda frågorna på en gång. Det tillhör nämligen den norska taktiken mot Sverige att taga »en fråga i sänder.» Det går lättare och vigare af det enkla skälet, att våra menlösa landsmän föreställa sig eller låta intala sig, att, när norrmännen fått en viss större förmån, skola de vara nöjda, hvilket dock ingalunda är fallet.</w:t>
        <w:br/>
        <w:br/>
        <w:t>Men det finnes äfven ett annat skäl än det taktiska, hvarför de ej upptaga båda frågorna på en gång, och detta är kanske det</w:t>
        <w:br/>
        <w:br/>
        <w:t>hufvudsakliga. Det är det skälet, att skulle norrmännen undfå del i ledningen af utrikesärendena, så blefvo de också nödsakade att åtaga sig en rättvis andel i ansvaret för denna ledning, och, som bekant, är det ingenting, som norrmännen så gärna vilja undslippa som det unionella försvarets ordnande. Det är den värsta buse de känna, värre än hvilken fiende som hälst, och så paradoxt det än låter, torde de, efter allt att döma, hellre riskera ett nederlag och förlora frihet och själfständighet, än de vilja gå tillsammans med Sverige att med enade krafter slå och förjaga fienden.</w:t>
        <w:br/>
        <w:br/>
        <w:t>Hvad som vidare har förvånat allmänheten är, att vår egen utrikesminister tagit initiativ till en utbrytning, som ej kan leda till annat än skam och skada för Sverige och dessutom skulle utgöra ett jättesteg till unionens upplösning. Man skall naturligtvis säga, att det skett för fridens skull och att man velat undvika förnyandet af den norska vänstermajoritetens beslut i stortinget. Hvad det förra beträffar, veta vi ju dock allt för väl, att det finns intet säkrare sätt att göra ofriden på halfön permanent än att gifva efter för alla norrmännens fordringar, emedan det ena krafvet genast föder det andra. Hvad åter stortingsvänsterns beslut beträffar, kunna de ej det minsta oroa oss. Så länge vi hafva makten, kunna dylika beslut ej blifva annat än opinionsyttringar; ty icke en enda norsk konsul kan, utan Sveriges vilja, tillsättas. Man har i dessa dagar försökt sig med ett dylikt beslut, och det är ju möjligt, att en och annan både här och i Norge tillagt deras dagordning någon betydelse, men nog hafva norrmännen grundligt misstagit sig, om de förmenat sig därigenom kunna imponera på den stora mängden af svenska nationen. De hafva förgäfves försökt med sådant för flera år sedan. Den 19 juli 1893 uppfördes i stortinget ett egendomligt, om deras vanliga öfverskattning vittnande skådespel. Då beslöt nämligen tinget, att gemensamheten i afseende å konsulatväsendet skulle upphöra den 1 januari 1895. Man var så säker på sin sak, att man anställde votering om, huruvida det skulle ske den 1 januari eller den 1 juli, och voteringen utföll så, att det, som sagdt, skulle ske den 1 januari. Nåväl, ännu i dag, åtta år efteråt, består den konsulära gemensamheten, och jag hoppas, att den fortfarande skall bestå, åtminstone så länge unionen fortvarar, hvilket väl ej kan blifva så länge.</w:t>
        <w:br/>
        <w:br/>
        <w:t>För att nu återgå till själfva saken, så vill det synas, som om den kommitté, som utrikesministern och regeringen tillsatt, varit tämligen öfverflödig. Redan för tio år sedan — år 1892 — hade två kommittéer arbetat i denna fråga och gjort en mycket tillfredsställande utredning, och dessutom hade man hört en generalkonsul i frågan. I den ena af dessa kommittéer satt nuvarande utrikesministern Lagerheim, och i likhet med de andra kommittéledamöterna yttrade han, att en skilsmässa i konsulatsväsendet vore både olämplig och betänklig, hvarför ock denna kommitté på det kraftigaste afstyrkte en dylik skilsmässa. Emellertid hafva nu vissa norska inflytelser kommit till, och till följd däraf tillsättes en ny kommitté. Men hurudan var denna kommittés sammansättning och hurudant dess</w:t>
        <w:br/>
        <w:br/>
        <w:t>program? Man skulle väl hafva trott, att vederbörande i en så viktig fråga icke skulle ha inskränkt sig till att tillsätta endast två personer för att värna Sveriges rätt, och att en kommitté af fyra personer — ett fåtal, som aldrig förut suttit i en unionskommitté — vore alldeles för fåtalig i en fråga af så omfattande betydelse för båda rikena. Så skedde likväl. Och huru beskaffad var den personal man tillsatte? Jo, å ena sidan en man, som ansågs vara en af Norges skarpaste separatister och som dessutom i många år tillåtit sig ett skriftställeri till och med i ryska tidningar, hvari Sverige och svenska nationen anfölls och hånades på ett sätt, hvartill man icke förr sett något liknande. Jämte honom insattes från norsk sida ordföranden i den kommitté, som år 1891 tillsatts af norska stortinget för att förbereda den konsulära skilsmässan. Mot dessa båda tränade herrar satte man för Sveriges räkning in ett par mycket aktningsvärda, men äfven mycket beskedliga män, hvilka i flera år varit bosatta i södra Europa och dittills sysselsatt sig mera med allt annat än med de unionella frågorna, personer som dessutom icke kunde anses fullt oberoende. Det senare vill äfven synas däraf att, trots de skiljaktigheter, som från deras sida yppade sig vid förhandlingarna med deras medkommitterade, så finns det ingen reservation af de svenska ledamöterna.</w:t>
        <w:br/>
        <w:br/>
        <w:t>Detta hvad beträffar sammansättningen. Det går alltid till på samma sätt. Norrmännen insätta såsom sina kommitterade sina skarpaste radikaler och fosterlandsvänner. Här åter söker man få in de medgörligaste och beskedligaste som äro att tillgå, och däruti lyckas man nog, likasom uti att utesluta dem, som kunde bilda en motvikt mot den norska uppsättningen. Men, det som ej lyckas — för Sverige nämligen — det är resultatet; det blir vanligen jämmerligt.</w:t>
        <w:br/>
        <w:br/>
        <w:t>Men jag öfvergår nu till programmet. I båda de skrifvelser, jag åberopat, har Riksdagen uttryckt den åsikten, att »utan tvifvel kunna på det ifrågavarande området reformer vidtagas i handelns och sjöfartens intresse, utan att gemensamheten brytes», men i programmet för denna unionskommitté i konsulatsfrågan finnes ej ett ord om reformer. Där talas ej det minsta om att undersöka, huruvida en konsulär skilsmässa vore önskvärd för båda rikena, och icke heller ett ord om att undersöka de politiska följderna däraf. Alt hvad detta program innefattar, är att kommittén skall förrätta en allsidig undersökning under olika förutsättningar, »huru en anordning med särskilda konsuler — märk väl: konsuler, icke konsulatväsen — skulle gestalta sig i praktiskt hänseende». Detta inskränkta program måtte emellertid ändock icke hafva behagat de norska ledamöterna, hvilka tyckas hafva varit de dominerande inom kommittén, utan dessa hafva skrifvit om programmet på ett ganska egendomligt och vilseledande sätt. I inledningen, redan på andra bladet efter det officiella programmet, säga de helt djärft, att deras uppdrag afsåge »en utredning från administrativ synpunkt af de praktiska följderna af en anordning med särskilda konsuler», och i den resumé, som förefinnes i slutet af kommittébetänkandet, säga författarne, att »kommittén utgått från den förutsättningen, att hvartdera riket skulle</w:t>
        <w:br/>
        <w:br/>
        <w:t>hafva sitt särskilda konsulatsväsen&gt;. Har man väl någonsin hört en så djärf förvridning af ett program, som lämnats åt en kommitté? I programmet stod, att kommittén skulle under olika förutsättningar göra en utredning i fråga om en ordning med särskilda konsuler, men här står blott en förutsättning, nämligen den att det skulle blifva särskilda konsulatväsen, underordnade det ena svensk och det andra norsk myndighet. Det hela är till den grad på fri hand uppgjord, att det borde förkastas redan på denna grund, äfven om ej underlåtenheten att fullgöra Riksdagens beslut, att båda de förutnämnda frågorna skulle upptagas till behandling i ett sammanhang, föranledde, att intet afseende kan fästas vid kommitténs arbeten af en representation, som vill hafva sin bestämdt uttalade mening respekterad.</w:t>
        <w:br/>
        <w:br/>
        <w:t xml:space="preserve">Såsom jag förut anmärkt, förekommer i detta förslag icke någonting om de politiska följderna, och jag skall därför strax härefter tillåta mig särskildt belysa denna sida af saken, hvilken man velat undanhålla all pröfning. Men dessförinnan ber jag att få fråga, huru det kommer sig, att då grundlagen uttryckligen föreskrifver, att icke något ärende får föredragas inför Konungen, utan att vederbörande föredragande hört vederbörande, man likväl icke i detta fall på minsta sätt uppfyllt denna föreskrift. Norrmännen kunna ju behandla denna fråga, huru de vilja; för dem äro vid detta tillfälle handelns och sjöfartens intressen icke af den ringaste vikt. Det är endast för att tillfredsställa sin fåfänga, som de vilja hafva denna skilsmässa till stånd, och de bekymra sig icke om att höra auktoriteter. Men för oss torde det vara något annorlunda. Det hände för några år sedan, då den konsulära skilsmässan ifrigt ventilerades, att Kristiania handelsstånd afgaf ett yttrande, som är ganska upplysande, huru annorlunda sakkunniga och oförvillade personer döma, i jämförelse med radikala politici. Denna korporation sade, att </w:t>
      </w:r>
      <w:r>
        <w:rPr>
          <w:b/>
        </w:rPr>
        <w:t>hon²</w:t>
      </w:r>
      <w:r>
        <w:rPr>
          <w:b w:val="0"/>
        </w:rPr>
        <w:t xml:space="preserve"> ej kunde inse nyttan af denna skilsmässa, emedan den omöjligen kan öka vare sig Sveriges eller Norges export och dessutom en konsuls inflytande är i hög grad beroende på den makt, som står bakom honom. Men ett rikes makt är naturligtvis mindre betydande än två rikens. Af dessa skäl kunde denna korporation ej vara med om skilsmässan. Det kunde ju mycket väl hända, att om man hörde flere rederier samt handelsoch sjöfartsnämnder i Norge, likartade yttranden skulle framkomma. Men hvad som är säkert är, att vi på svenskt håll, enligt min tanke, måste höra sådana korporationer och auktoriteter, som i nu förevarande afseende kunna lämna tillförlitliga upplysningar.</w:t>
        <w:br/>
        <w:br/>
        <w:t>Som sagdt, kommittén har sorgfälligt undvikit att tala om just det viktigaste, nämligen huruvida denna konsulära skilsmässa är önskvärd för de båda rikena och hvilka de politiska följderna skulle blifva. Men detta kan ej hindra, att den enskilde riksdagsmannen kan anse sig skyldig att göra sig reda för detta, och jag skall därför tillåta mig att läsa upp några punkter, däri jag framstält de följder, som närmast äro att emotse, därest kommitténs förslag</w:t>
        <w:br/>
        <w:br/>
        <w:t>1. Den enhet och styrka gent mot utlandet, som unionen var</w:t>
        <w:br/>
        <w:br/>
        <w:t xml:space="preserve">ämnad att gifva de förenade rikena, och hvilken redan genom unionsmärkets borttagande ur norska handelsflaggan blifvit undergräfd, skulle, om nu äfven konsulatväsendet skulle åtskiljas, tilldelas ett nytt banesår, och i unionens inre skulle den samhörighetskänsla, som är </w:t>
      </w:r>
      <w:r>
        <w:rPr>
          <w:b/>
        </w:rPr>
        <w:t>hennes²</w:t>
      </w:r>
      <w:r>
        <w:rPr>
          <w:b w:val="0"/>
        </w:rPr>
        <w:t xml:space="preserve"> lifsvilkor, dödas. "2. Sveriges naturliga och historiskt berättigade ställning i unionen skulle tillintetgöras, och förut blottad genom ständiga ryckningar och afslitningar skulle vår nation, när nu äfven en af de sista resterna af vår makt bortrycktes, stå för all världen såsom en ruin eller en plockad fågel.</w:t>
        <w:br/>
        <w:br/>
        <w:t>3, Svenska utrikesministerns makt och betydenhet för utlandet skulle icke blott kringskäras och väsentligen förintas; han skulle äfven blifva en docka i ett norskt departements händer, ty han skulle nödgas lyda detta departement vid hvarje tillsättning af ett norskt konsulat och vara förbunden att bereda exekvatur i utlandet åt för honom alldeles okända och kanske ökända personer, och till och med om konsuln gjort de största missgrepp och invecklat unionen i de största förvecklingar, får ministern icke afsätta eller ens tillrättavisa en sådan person. Icke nog därmed. Svenska staten skall för en sådan främmande konsuls åtgöranden bära ansvaret och nödgas inlåta sig i krig för att häfda ett lands intressen, som i allt öfrigt icke vill veta af oss! Ett oeftergifligt villkor för de »egna konsulerna» skulle naturligtvis vara, att Norge själft i militäriskt och finansiellt afseende ansvarar för alla genom dess konsuler uppkomna förvecklingar. Och när man vill påstå, att detta icke vore förenligt med unionen, så har man därmed blott visat, att anordningen med skilda konsuler icke är förenlig med unionen.</w:t>
        <w:br/>
        <w:br/>
        <w:t>4. I utlandet skulle man snart, för undvikande af omvägar i frågor rörande Norge, vända sig, icke till utrikesministern, utan till norska konsulatstyrelsen, som således redan därigenom kommer att anses för ett norskt utrikesdepartement, hvilket namn man redan, med vanlig oblyghet å norska och slapphet å unionsregeringens sida, gifvit det s. k. Inre departementet, och om man i utlandet skulle stundom känna sig förlägen, hvarthän man vid en uppkommen förveckling skall vända sig, skall detta naturligtvis göra hela unionen till ett åtlöje för alla utrikeskabinett.</w:t>
        <w:br/>
        <w:br/>
        <w:t>Därigenom har en viss norsk kommittéledamots länge närda plan att, genom utvidgandet af »Inre departementets» konsulatkontor, åstadkomma ett norskt utrikesdepartement, »utan all förändring i föreningsfördragen och utan svenska Riksdagens hörande»&gt;, gått i fullbordan, ehuru det strider emot det med Sverige, i $ 13 af norska grundlagen träffade aftalet, och därmed är också klafven gifven till Sveriges beroende af Norge och omöjligheten för oss att föra en själfständig politik. Ett närliggande steg till främjande af denna plan är för vänstern att underblåsa de säkerligen ofta återkommande stridigheterna mellan utrikesministern och norska konsulatstyrelsen, hvarigenom skriket i Norge på egen utrikesminister, som erhölle</w:t>
        <w:br/>
        <w:br/>
        <w:t>den svenske utrikesministerns återstående makt öfver Norges utrikesärenden, skulle stegras.</w:t>
        <w:br/>
        <w:br/>
        <w:t>5. Afven i ett annat afseende kommer, efter konsulatkommitténs förslag, Norge i en mera dominerande ställning än Sverige, då nämligen norska konsulerna ej skola vara beroende af hvarken vår utrikesminister eller våra beskickningar, men däremot de svenske konsulerna blifva beroende af beskickningar, som ofta förestås af norrmän.</w:t>
        <w:br/>
        <w:br/>
        <w:t>Om denna motsägelse och bristande jämnlikhet skall kunna undvikas, borde hädanefter icke utnämnas norska sändebud eller ock för dem göras ett undantag i afseende på beskickningarnes myndighet öfver de svenska konsulerna.</w:t>
        <w:br/>
        <w:br/>
        <w:t>6. Det betänkliga förhållande, som uppkommer, då utrikesministern och konsulatsstyrelsen äro af olika tankar beträffande de norska konsulernas förhållande, eller då utrikesministern måste till något utrikeskabinett i samma fråga meddela ett beslut angående den svenske konsulns förhållande och ett annat, dikteradt af norsk styrelse angående den norske konsulns förhållande i samma sak, eller då den svenske och norske konsuln af konkurrensafund eller personlig antipati komma i delo, för allt detta har kommittén icke annan hjälp än sitt »hopp», att utrikesministern och konsulatstyrelsen skola komma till samma uppfattning och att konsulerna skola förlikas. Men när man känner den norska hänsynslösheten och egenkärleken, ytterligare uppeggade genom den framgång, norrmännen nu skulle ha fått, inses lätt, hvilka stridigheter och spektakel genom denna separation skulle tid efter annan uppstå icke blott mellan öfverstyrelserna utan äfven i utländska sjöstäder emellan de båda konsulerna till mycken hugnad och löje för de främmande åskådarne, men kanske icke till lika mycken ära för den unionskonung och hans ministrar, som tillstadt sådant.</w:t>
        <w:br/>
        <w:br/>
        <w:t>7. Kommittén förebådar vidare en genomgripande förändring af konsulatflaggor, vapen o. d. Härvid skulle söndringen emellan rikena få sin mest uppseendeväckande prägel.</w:t>
        <w:br/>
        <w:br/>
        <w:t>I stället för den nuvarande gemensamma konsulatflaggan skulle man, där en svensk och en norsk konsul funnes, få två särskilda, hvilket i synnerhet blefve löjligt, där, såsom i Berlin m. £. städer, unionens sändebud presenterar blott en flagga — den gamla unionsflaggan; och i de städer, där blott en, antingen svensk eller norsk konsul funnes, skulle blott det: ena rikets särskilda flagga hissas, om han ock skötte båda rikenas affärer. I vissa städer, där man för kostnadens skull nödgades bibehålla ett gemensamt konsulat, skulle dock förmodligen de två olika flaggorna hissas öfver dess lokal, den ena med, den andra utan unionstecken(!), och där endast en norsk konsul funnes, åt hvilken likväl de på platsen förekommande svenska affärerna vore öfverlåtna, skulle dessa skötas under norsk »ren&gt; flagga, hvilket ju vore mycket hedrande för Sverige, som skapat unionen. a</w:t>
        <w:br/>
        <w:br/>
        <w:t>man afgifna betänkandet af 1892 anföres såsom en »stor olägenhet», Statsverksatt rikena stundom finge i samma land hafva fem olika kategorier af Pro orts) konsuler. |</w:t>
        <w:br/>
        <w:br/>
        <w:t>Sådana blefve de politiska följderna af detta helt och hållet i norskt intresse affattade förslag. Naturligtvis kan man icke tro, att en regering, som har aktning för sitt land och sig själf samt tänker på sitt ansvar, skulle gå in på detta förslag, och ehuru det berättas, att man redan inledt underhandlingar med norrmännen om åtskilliga detaljer i denna fråga i stället för att, som man haft rätt att förvänta, genast afvisa det odugliga och för Sverige förnedrande förslaget, så är det ändock otänkbart, att en svensk regering skulle vilja påtvinga svenska representationen detta förslag. Och lika litet torde säkerligen Riksdagen vara benägen att antaga det, när den gjort sig reda för betänkandets innebörd.</w:t>
        <w:br/>
        <w:br/>
        <w:t>Det är för att lämna några bidrag till kännedomen om hvad detta förslag innebär, som jag vågat begära ordet, och jag har trott, att det icke skulle kunna förtänkas en gammal man, hvars stämma snart tystnar, att härvid rikta några varningens och väckelsens ord till dem, som ännu älska sitt land och ej vilja se det förnedradt.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