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928</w:t>
      </w:r>
    </w:p>
    <w:p>
      <w:r>
        <w:rPr>
          <w:b/>
        </w:rPr>
        <w:t xml:space="preserve">Datum: </w:t>
      </w:r>
      <w:r>
        <w:t>1903-02-13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Otto Redelius (–, man)</w:t>
      </w:r>
    </w:p>
    <w:p>
      <w:r>
        <w:rPr>
          <w:b w:val="0"/>
        </w:rPr>
        <w:t>Herr talman, mine herrar! Då detta kanske är sista gången, som jag har tillfälle att från denna plats uttala mig i föreliggande fråga, anhåller jag att nu få till protokollet göra några anmärkningar. För att då kunna — såvidt det står i min förmåga — undvika missuppfattningar, så att ingen må beskylla mig hafva andra åsikter, än jag verkligen hyser, ber jag att få börja med att uttala mitt instämmande med motionären och utskottet i tre mycket viktiga punkter.</w:t>
        <w:br/>
        <w:br/>
        <w:t>Först och främst gäller mitt instämmande motionärens och utskottets uttalanden angående samvetsfriheten. Jag har hittills icke ansett det vara behöfligt att särskildt betona, att jag på det allra högsta respekterar samvetsfriheten. Jag har sökt att själf —- såvidt det varit mig möjligt — vandra med rent samvete och att undvika samvetets förkränkelse såväl beträffande mitt eget som andras samvete, och jag tror mig icke heller hatva kränkt någons samvete. Jag erkänner till fullo samvetsfrihetens berättigande, och lika mycket som jag själf önskar att få tro, handla och lefva efter mitt eget samvetes bud och kraf, lika gärna vill jag gifva andra samma rätt. I den punkten hoppas jag, att ingen missuppfattning råder mellan mig och mina kamrater här i kammaren, Detta beträffande den första punkten.</w:t>
        <w:br/>
        <w:br/>
        <w:t>Den andra punkt, där jag måste instämma med motionären och utskottet, är den, att man bör handla rätt och gifva hvar och en sin</w:t>
        <w:br/>
        <w:br/>
        <w:t>rätt, äfven fiender och äfven när det gäller småsaker. Det påstås, att det motionären nu önskar är en småsak — ja, jag lämnar nu för ögonblicket därhän, om det är litet eller mycket — men i alla fall bör man erkänna andras rätt, när man finner dem hafva rätt. Afven i det stycket hoppas jag således att vi kunna vara öfverens.</w:t>
        <w:br/>
        <w:br/>
        <w:t xml:space="preserve">I den tredje punkt, där jag är ense med motionären och utskottet, är det fråga om nyttan eller skadan för den svenska statskyrkan att som sina medlemmar nödgas medräkna icke blott indifferenta, utan äfven rent af mot kyrkan själf och </w:t>
      </w:r>
      <w:r>
        <w:rPr>
          <w:b/>
        </w:rPr>
        <w:t>hennes²</w:t>
      </w:r>
      <w:r>
        <w:rPr>
          <w:b w:val="0"/>
        </w:rPr>
        <w:t xml:space="preserve"> mål fientliga personer. Jag har många gånger förut här i kammaren uttalat min mening i detta afseende, men jag nödgas upprepa hvad jag sagt härom, med anledning af de missförstånd, som erfarenheten visat att mina uttalanden varit utsatta för. Jag har aldrig kunnat finna, att det för något samfund, särskildt icke för något religiöst samfund, allraminst för det svenska kyrkosamfundet, kan vara till gagn att bland sina medlemmar räkna äfven fiender. Jag har alltid haft den uppfattningen, att om några sådana räknas såsom medlemmar, kunna de utgå ur kyrkan, och jag har trott, att dörren varit öppen, och jag har uttalat den uppmaningen till dem, om de funnits: Varen så goda och gå ut, vi vilja ej hålla er kvar. Men oaktadt jag yttrat allt detta, har likväl någon skiljaktighet i denna punkt rådt mellan mig och motionären och hans meningsfränder, och därför vill jag ännu en gång understryka, att vi ändå i alla dessa tre punkter, som jag nu vidrört, ha samstämmiga åsikter.</w:t>
        <w:br/>
        <w:br/>
        <w:t>För att icke nu i det följande, där jag kanske kommer att uttala en mening, som är motsatt deras egen, blifva allt för mycket missförstådd, ber jag att få förutskicka äfven den anmärkningen, att jag i dag icke ämnar yrka afslag å utskottets nu föreliggande hemställan, fastän jag icke heller finner mig särskildt böjd för att yrka bifall till lagutskottets formulering. Jag har dock två skäl att nu bifalla den ifrågasatta lagändringen; och det är egentligen för att anföra dessa två skäl, som jag begärt ordet. Ty huru stor vikt än ligger på de tre punkter, som jag nyss talade om och i hvilka jag är ense med motionären och utskottet, har jag dock icke ansett det ligga så stor vikt därpå, att jag behöft begära ordet och betona detta, hvarom vi alla torde vara ense. Hufvudpunkten i nu föreliggande betänkande är, enligt min uppfattning, frågan om den stängda eller öppna dörren. Några anse, att den är så pass stängd ännu, att de som vilja ut icke kunna komma ut. Om så är, är detta anledning till, tror jag, att man bör öppna litet mera på dörren, så att desse må komma ut. För min del har jag trott, att dörren varit öppen; hvadan jag kunnat säga, såsom jag mången gång gjort: »Dörren är öppen! Gån ut, om och när i viljen.» Och villkoret, att säga hvart man går, har jag ej trott vara nägot svårt eller obilligt villkor, helst under förutsättning, att alla, på hvilken den lag, hvarom nu handlas, har tillämpning, vore att anse såsom kristne i någon mening. Härom ber jag att få förklara</w:t>
        <w:br/>
        <w:br/>
        <w:t>mig något närmare. Jag får öppet bekänna, att jag vid denna frågas bedömande gått ut från den åskådningen, att som svenska kyrkans medlemmar icke skulle få räknas andra personer än sådana, som hysa evangelisk-luthersk tro och bekänna sig till evangelisk-lutherska läran. Denna ståndpunkt har för mig varit ganska viktig.</w:t>
        <w:br/>
        <w:br/>
        <w:t>För min uppfattving i denna del har jag två skäl. Det ena är, att personer utesluta sig själfva från kyrkans förmåner kanske utan att veta det och utan att hafva anmält sin afsikt att utträda ur kyrkan. Om någon begår uppenbar köttslig gärning eller begår vissa brott, utesluter den sig själf från kyrkans gemenskap. Det andra skälet är kyrkans egen bekännelse, enligt hvilken den person, som i sin själfva hjärtetro affallit från denna bekännelse, därmed också uteslutit sig själf från kyrkans gemenskap. Detta sedt från kyrkans egen inre ståndpunkt.</w:t>
        <w:br/>
        <w:br/>
        <w:t>Annorlunda ter sig svenska statskyrkan i det yttre, sådan den representeras af Konung och Riksdag. Det är icke någon hemlighet för någon, att lagstiftningen för den svenska statskyrkan hufvudsakligen utöfvas af Riksdagen och Kungl. Maj:t. Enligt gällande lagar och författningar räknas till svenska statskyrkan äfven sådana personer, hvilka icke bekänna sig till evangelisk-lutherska läran. Och om så är, att motionären och utskottet hafva rätt däri, att till svenska kyrkan skall medräknas ej blott sådana, som rätteligen höra dit, men äfven bekännare af »främmande kristen lära», för all religion likgiltiga och därtill religionsfientlige, till och med mot svenska kyrkan hatfulla personer; om det verkligen förhåller sig så, och om det kan med skäl sägas, att sådana personer tvingas kvar och hindras att gå ut; då vill jag säga, att detta icke är lämpligt eller önskvärdt, utan att vi böra ställa så till, att dessa »främmande» personer kunna gå sin väg; jag hyser således samma uppfattning som utskottet, att kyrkan bör ha rättighet att värja sig från sådana medlemmar, som motionären antydt och åsyftat. Men antag — och jag kan icke finna, att man med framgång kan bestrida, att så är — att det ligger något hinder i uttrycket: »omfatta främmande kristen lära». Ja, om personer, som tillhöra statskyrkan, icke bekänna sig till den evangelisk-lutherska tron och icke omfatta främmande kristen lära, ja, ingen kristen lära alls, kanske icke ens någon religion, utan till och med äro rent af fientliga mot all religon, som nyss nämndes, vill jag naturligtvis icke gärna, att sådana personer skola vara medlemmar af svenska statskyrkan, utan för all del, låtom oss ställa så till, att de kunna utgå ur kyrkan själfvilligt. Eljest skulle jag vilja instämma med utskottet därutinnan, att kyrkan borde ha rätt att värja sig mot sådana medlemmar på det sätt, synes mig, att kyrkan själf skulle kunna skilja sig från dem, men därom är icke lämpligt att nu yttra sig, ty den frågan föreligger ju icke för närvarande, utan endast frågan om man skall låta dessa mindre värdiga medlemmar få gå ut ur kyrkan eller ej. Nu vill jag således, att dessa skola få tillåtelse att utgå ur kyrkan, och eftersom</w:t>
        <w:br/>
        <w:br/>
        <w:t>förhållandena blifvit egendomliga och lagbestämmelserna invecklade, Angående må lagen ändras i sådan riktning utskottet hemställt, och jag vill därvidgad rätt för icke yrka afslag å utskottets hemställan, utan bifall till densamma. BR egräke vt</w:t>
        <w:br/>
        <w:br/>
        <w:t>En sak till ber jag att få vidröra, och därvid väntar jag icke (Forts.) | något allmännare bifall, åtminstone icke här i kammaren; och detta är frågan: Hvad blir i framtiden följden, om lagstiftningen bärvidlag blir sådan, att hvar och en får rätt att utgå ur statskyrkan utan att behöfva uppgifva det trossamfund, till hvilket han ämnar öfvergå. Jo, följden af en dylik lag blir naturligtvis den, att äfven personer, som i själ och hjärta tro på den evangelisk-lutherska läran, ändå anmäla sig till utträde ur kyrkan; ja, jag går så långt, att jag anser det åtminstone tänkbart, att hela församlingar, inberäknadt själfva prästerskapet, anmäla sig till utträde. Härvid torde invändas, att ingen kan se in i framtiden och så säkert profetera om huru det då skall komma att gå; och jag för min del vågar mig icke in på något dylikt, men nog synes det, om än dunkelt, skymta en sådan syn, att statsmakterna kunna göra sådana bestämmelser, att det för personer, som af själ och hjärta tro på den svenska statskyrkans bekännelse, blir, om också icke olidligt, så likväl mycket obehagligt att stå kvar i statskyrkan, och de kunna fråga sig, om de icke kunde få det friare och bättre, om de toge och rent af bildade en friförsamling. Detta är en tanke, som visserligen gäller framtiden, men jag vill ha uttalat den, ty jag tror, att den är värd att hegrundas. BSärskildt bör Kungl. Maj:t taga den i öfvervägande, om Kungl. Maj:t nu kan fästa så mycket afseende vid hvad en kammare, den Andra Kammaren, uttalat, äfven om icke Första Kammaren instämt med Andra Kammaren. Att han anser det vara nog att ett uttalande härom skett, så att Kungl. Maj:t häraf kan anse sig hafva anledning att taga i öfvervägande, om icke skäl kan förefinnas att föreslå Riksdagen en sådan ändring af dissenterlagen, att rätten att utträda ur statskyrkan blir så utsträckt, som utskottet här ifrågasatt. Då skulle ju evangelisk-lutherska kristna kunna utträda ur svenska statskyrkan utan att förneka sin bekännelse och utan att förändra sin egenskap af troende eller fromma människor. Jag har endast velat påpeka detta, så att man äfven tänker på möjligheten af denna konsekvens, när lagändringsförslaget tages i öfvervägande. Men om man gör det, så är äfven jag, om kammaren i öfrigt är af samma mening, med om en sådan skrifvelse, att möjligheten att utträda ur statskyrkan blir på detta sätt utsträckt. Men om och när denna antydda möjliga påföljd blir verklighet, då kan hända, att vi, som hylla oss till den evangelisk-lutherska kyrkan, verkligen vilja åberopa till vår förmån den handlingsoch trosfrihet, som man nu med större eller mindre rätt åberopar för främmande trosbekännare, och hafva vi skäl förvänta, att denna frihet då icke skall förvägras oss.</w:t>
        <w:br/>
        <w:br/>
        <w:t>Jag instämmer sålunda med utskottet och är med om att en skrifvelse i ämnet afgår till Kungl. Maj:t.</w:t>
        <w:br/>
        <w:br/>
        <w:t>Den reform, som behandlas i nu föreliggande betänkande, har stått på dagordningen sedan många, många år tillbaka. Första gången, det var år 1877, väcktes denna fråga af en af den svenska statskyrkans främste män. Sedan har frågan, som vi veta, kommit fram gång på gång, och för min egen ringa del har jag under de år, som gått, haft tillfälle; att i denna för mig mycket viktiga fråga yttra mina tankar mångfaldiga gånger. Jag skall nu visst icke trötta kammaren med att ånyo anföra de skäl, som för mig härvidlag varit bestämmande, jag hänvisar i det afseendet till hvad jag förut sagt, liksom jag äfven kan åberopa lagutskottets utlåtande för innevarande år. Jag vill endast särskildt med afseende å de nykomna aktade medlemmarne inom kammaren be att få understryka tvenne moment uti den beviskedja, som reformens vänner kunde vilja föra fram.</w:t>
        <w:br/>
        <w:br/>
        <w:t xml:space="preserve">Jag ber att få fästa uppmärksamheten därpå, att denna fråga, sådan som </w:t>
      </w:r>
      <w:r>
        <w:rPr>
          <w:b/>
        </w:rPr>
        <w:t>hon²</w:t>
      </w:r>
      <w:r>
        <w:rPr>
          <w:b w:val="0"/>
        </w:rPr>
        <w:t xml:space="preserve"> nu föreligger, i själfva verket icke har så synnerligen stor räckvidd. Det är här icke fråga om att i dissenterlagen införa någon ny princip. Den principen, att det bör vara hvarje människa fritt att i religiöst afseende, i lifvets högsta frågor, själf bestämma sin ståndpunkt, finnes i själfva verket i 3 $ dissenterlagen, ehuru visserligen däri omgärdad med åtskilliga inskränkningar. Det är just dessa inskränkningar, som jag och många med mig nu önska få bort. Hvad vi begära är egentligen icke annat, än att det fåtal mycket samvetsömma människor, vare sig kristna eller hedningar, som på grund af sitt samvete icke kunna förmå sig att begagna en lögn för att komma ut ur den kyrka, där de icke vilja kvarblifva, måtte få tillåtelse att på öppen väg träda ut ur kyrkan. Det är endast detta, som reformen åsyftar. Frikyrkliga och uppriktiga statskyrkovänner ha gång efter annan påyrkat denna reform i statskyrkans eget intresse, och det är frikyrkliga och statskyrkovänner, som nu särskildt ha stött på mig, att jag åter skulle föra fram denna reformfråga till Riksdagens förnyade ompröfning. Jag har dessutom, mina herrar, i går ifrån ett håll, som hvarken är frikyrkligt eller statskyrkovänligt, utan utgöres af personer, som förklara sig icke alls vilja acceptera kyrkans dogmer, personer, som med afseende å sin öfvertygelse stå utom statskyrkan och säkerligen också delvis utom kristendomens råmärken, från den yttersta vänstern och ända ut till unitarier på kristlig grund — från dessa, uppgående till ett antal af cirka 2,500 personer, har jag mottagit en adress, som är helt kort och som jag lofvat föra fram till kammarens kännedom. Den lyder:</w:t>
        <w:br/>
        <w:br/>
        <w:t>» Vi undertecknade, svenska medborgare, vilja här inför den församlade Riksdagen framföra vår allvarliga anhållan att få utträda ur</w:t>
        <w:br/>
        <w:br/>
        <w:t>statskyrkan utan att åläggas öfvergå till något annat af staten er- Angående kändt religiöst samfund. vidgad rätt Grundlagen sä tt »Konu vill ingens samvete tvinga eller till utträde ur gen säger, a onungen ge ving statskyrkan. tvinga låta», — hvarför skall då statskyrkan öfva samvetstvång? (Forts.) Det finnes tusentals personer i detta land, som icke kunna tro de lärosatser, som statskyrkan fastställt, ehuru icke alla här haft tillfälle att teckna sina namn; dock är denna fråga af sådan betydelse, att om blott en individ begärde utträde ur statskyrkan, borde detta ej förvägras honom. Vi anse oss således vara i vår fulla rätt att moraliskt befrias från statskyrkan och icke som hittills nödgas bära denna falska etikett, hvilket icke kan annat än uppröra hvarje rättänkande och om sin tankefrihet ömmande människa.» Således, mina herrar, det är ett faktum, att det finnes här i detta land tusentals människor, frikyrkliga, uppriktiga vänner till statskyrkan och fritänkare af olika slag, personer, som i religiöst afseende ha alldeles olika uppfattning, men som allesammans instämma i detta ovillkorliga postulat, att den svenska staten och den svenska kyrkan skola respektera samvetets rätt. Jag tillåter mig att ännu en gång vädja till Riksdagens Andra Kammare i detta fall. Den Första Kammaren har för en stund sedan afgjort denna fråga, den har sagt ånyo sitt nej, utan någon egentlig diskussion och utan någon votering. Från högkyrkligt håll har bannstrålen slungats öfver motionären, men mina herrar, jag hör icke till de rädda, och jag tager det med mycken ro. Jag vill hoppas, att Andra Kammaren icke i denna punkt uu skall följa Första Kammarens exempel, utan i stället biträda lagutskottets hemställan och min ödmjuka vädjan. Jag hyser denna förhoppning så mycket mera, som min högt ärade vän, herr Redelius, hvilken nyss hade ordet, lofvade att icke yrka afslag å motionen. Det gjorde han icke heller. Jag tror nästan, att han yrkade bifall till lagutskottets hemställan, och detta öfverraskar mig icke. Jag hade förr eller senare väntat mig detta af hans sunda förstånd. Jag är också öfvertygad om att, därest herr Redelius får hålla på litet längre, han och jag snart blifva sams i så godt som alla punkter. Jag skall icke upptaga tiden längre, utan endast tillåta mig att yrka bifall till utskottets hemställan.</w:t>
      </w:r>
    </w:p>
    <w:p>
      <w:pPr>
        <w:pStyle w:val="Heading2"/>
      </w:pPr>
      <w:r>
        <w:t>2. Knut Henning Gezelius von Scheele (–, man)</w:t>
      </w:r>
    </w:p>
    <w:p>
      <w:r>
        <w:rPr>
          <w:b w:val="0"/>
        </w:rPr>
        <w:t>Herr talman! Anledningen till att jag begärt ordet i denna fråga ligger hufvudsakligen däri, att jag icke blott i föreliggande motion, utan jämväl i den allmänna opinionen, såsom den t. ex. tagit sig uttryck i hvad vi här hört från ett antal af mellan 2 och 3 tusen svenska medborgare, funnit ett missförstånd äga rum af mycket grof art.</w:t>
        <w:br/>
        <w:br/>
        <w:t>Man talar åter och åter om att svenska statskyrkan utöfvar ett samvetstväng. Det är väl ändå svenska staten, som bestämmer öfver</w:t>
        <w:br/>
        <w:br/>
        <w:t xml:space="preserve">icke däraf, att vår folkkyrka motsätter sig krafvet i fråga, då det kommer till </w:t>
      </w:r>
      <w:r>
        <w:rPr>
          <w:b/>
        </w:rPr>
        <w:t>henne²</w:t>
      </w:r>
      <w:r>
        <w:rPr>
          <w:b w:val="0"/>
        </w:rPr>
        <w:t xml:space="preserve"> från rätt håll. Själf har jag i kyrkomötet redan för 10 år sedan förklarat, att ifall den rätte målsmannen, som är Riksdagen, begär, att dessa barn af det svenska folket skola såsom andligt myndiga betraktas och icke längre bibehållas i någon slags förbindelse med vår kyrka, jag då ville vara med om att svara ja till en sådan framställning. Naturligtvis kan jag icke tala för någon annan än mig själf, men nog ligger det bra nära till hands att antaga, att jag uti den kyrkliga representationen ingalunda kommer att stå allena eller ens i fåtalet med denna min uppfattning.</w:t>
        <w:br/>
        <w:br/>
        <w:t>Håller jag mig först till den rent individuella synpunkten, må man väl tro oss kyrkans män om att vilja häfda samvetsfriheten. Om vi icke gjorde det af hjärtat, så skulle vi åtminstone vara så förståndiga, att vi insåge detta vara den enda väg, på hvilken vi kunna med hopp om framgång göra gällande de intressen, hvilka vi äro satta att i världen upprätthålla.</w:t>
        <w:br/>
        <w:br/>
        <w:t>Går jag därefter öfver till en vidgad kyrklig synpunkt, lär det väl icke vara tvifvel underkastadt, att det, åtminstone ytligt eller mänskligt sedt, innebär en ganska stor förödmjukelse för den svenska kyrkan att nödgas mottaga och såsom sina medlemmar bibehålla personer, hvilka öppet uttala ovilja mot det samfund, de genom statens lagar förklarats tillhöra.</w:t>
        <w:br/>
        <w:br/>
        <w:t>Och då jag nu har att såsom ett af vårt folks ombud i riksförsamlingen afgifva min röst i denna fråga, så känner jag ett betydande ansvar härvid, ty trots frågans skenbart ringa innebörd är den genom sina ödesdigra konsekvenser otvifvelaktigt en stor fråga. Utan att sålunda vara blind för de faror, som blifva med utvecklingen i denna riktning förbundna, kan jag icke vid den allmänna mognad, som samhällets till myndig ålder hunna medlemmar i vår tid äga, tillerkänna staten rätt till förmynderskap öfver den enskildes samvete i en sak sådan som den föreliggande. Hans betänkligheter må vara oberättigade efter min åsikt, ja låt vara efter en i och för sig högre insikt, hvilken motståndaren ännu icke tillägnat sig, så har jag dock enligt kristen åskådning att taga mig till vara för, att &gt;den svage brodern fördärfvas genom min kunskap». Detta gäller nog äfven den kristna staten intill gränsen af de oundgängliga villkoren för dess bestånd.</w:t>
        <w:br/>
        <w:br/>
        <w:t>På grund af hvad jag nu anfört, instämmer jag i lagutskottets föreliggande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