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955</w:t>
      </w:r>
    </w:p>
    <w:p>
      <w:r>
        <w:rPr>
          <w:b/>
        </w:rPr>
        <w:t xml:space="preserve">Datum: </w:t>
      </w:r>
      <w:r>
        <w:t>1904-04-16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Staaff (Liberala samlingspartiet, man)</w:t>
      </w:r>
    </w:p>
    <w:p>
      <w:r>
        <w:rPr>
          <w:b w:val="0"/>
        </w:rPr>
        <w:t>Herr talman! Som kammaren har funnit, har den af mig väckta motionen, hvarom nu är fråga, innefattat tre särskilda framställningar, dels den, som omhandlas i första</w:t>
        <w:br/>
        <w:br/>
        <w:t>skatteförordpunkten af utskottets utlåtande och om hvilken kammaren nu redan ningarna i fattat beslut, dels ock en framställning därom, att Riksdagen måtte</w:t>
        <w:br/>
        <w:br/>
        <w:t xml:space="preserve">besluta sådan ändring i inkomstskatteförordningen, att gift </w:t>
      </w:r>
      <w:r>
        <w:rPr>
          <w:b/>
        </w:rPr>
        <w:t>kvinna¹</w:t>
      </w:r>
      <w:r>
        <w:rPr>
          <w:b w:val="0"/>
        </w:rPr>
        <w:t>, som har egendom under egen förvaltning, blifver skyldig att själf uppgifva densamma, och dels slutligen i en tredje punkt, att det sammanförande, som nu äger rum i fråga om makars inkomster, äfven om egendomsförvaltningen är delad, måtte upphöra i afseende på bevillningsfrågor och inkomstskatt. Beträffande den sista af dessa punkter har jag icke vunnit något understöd inom utskottet, men beträffande den andra punkten har jag erhållit understöd af några reservanter. Jag kan för min del ingalunda gilla utskottets motivering i fråga om vare sig den tredje eller andra punkten. Utskottet har framställt dessa punkter i det sammanhang, att det först behandlar tredje punkten och därvid förklarar sig icke kunna gilla densamma, samt vid sådant förhållande betraktar såsom själffallet, att andra punkten, nämligen den om deklarationsuppgifterna, äfven skall förfalla.</w:t>
        <w:br/>
        <w:br/>
        <w:t xml:space="preserve">Beträffande nu först tredje punkten i motionen — eftersom utskottet upptagit frågorna i den ordningen — tror jag, att det skäl, som utskottet där anfört, nämligen att det kan komma att väcka ovilja i de äktenskap, där delad egendomsförvaltning ej finnes, ifall makar med samma inkomster, men med delad egendomsförvaltning kunde komma att betala mindre i skatt. Jag tror, att det skälet är för svagt, ty för att detsamma skall äga någon betydelse, fordras, att utskottet icke blott skall konstatera eller förmoda, att en sådan ovilja skulle väckas, utan också att en sådan ovilja är berättigad, och sålunda utreda, huruvida således saken i och för sig är berättigad eller icke. När man skall taga frågan i betraktande, ber jag att få framhålla, att man framför allt bör fästa sig vid de fall, då </w:t>
      </w:r>
      <w:r>
        <w:rPr>
          <w:b/>
        </w:rPr>
        <w:t>hustruns²</w:t>
      </w:r>
      <w:r>
        <w:rPr>
          <w:b w:val="0"/>
        </w:rPr>
        <w:t xml:space="preserve"> särskilda inkomster, hvaröfver </w:t>
      </w:r>
      <w:r>
        <w:rPr>
          <w:b/>
        </w:rPr>
        <w:t>hon²</w:t>
      </w:r>
      <w:r>
        <w:rPr>
          <w:b w:val="0"/>
        </w:rPr>
        <w:t xml:space="preserve"> har särskild förvaltning, icke är inkomst af kapital, utan arbetsinkomst. I sådana fall är det nämligen klart, att, om man jämför två äkta makar, som hafva samma inkomster som två andra äkta makar, men det i det förra äktenskapet är mannen ensam, som genom sitt arbete helt och hållet har dessa inkomster — han är således bättre aflönad än mannen i det andra äktenskapet, hvars inkomster först tillsammans med </w:t>
      </w:r>
      <w:r>
        <w:rPr>
          <w:b/>
        </w:rPr>
        <w:t>hustruns²</w:t>
      </w:r>
      <w:r>
        <w:rPr>
          <w:b w:val="0"/>
        </w:rPr>
        <w:t xml:space="preserve"> själfständiga, genom eget arbete förvärfvade inkomst blir lika stor som de andra makarnas inkomster — det är klart, säger jag, att skatteförmågan i dessa båda äktenskap är ganska olika. Ty </w:t>
      </w:r>
      <w:r>
        <w:rPr>
          <w:b/>
        </w:rPr>
        <w:t>hustruns²</w:t>
      </w:r>
      <w:r>
        <w:rPr>
          <w:b w:val="0"/>
        </w:rPr>
        <w:t xml:space="preserve"> i det senare äktenskapet arbete måste draga tid, och den tiden måste tagas från arbetet inom hemmet och hushållet för barnens uppfostran och vård och dylikt. Följaktligen stå ju sådana makar i det hänseendet i en väsentligen annan ställning, att, när </w:t>
      </w:r>
      <w:r>
        <w:rPr>
          <w:b/>
        </w:rPr>
        <w:t>hustrun²</w:t>
      </w:r>
      <w:r>
        <w:rPr>
          <w:b w:val="0"/>
        </w:rPr>
        <w:t xml:space="preserve"> måste utomhus göra arbete, hvaraf </w:t>
      </w:r>
      <w:r>
        <w:rPr>
          <w:b/>
        </w:rPr>
        <w:t>hon²</w:t>
      </w:r>
      <w:r>
        <w:rPr>
          <w:b w:val="0"/>
        </w:rPr>
        <w:t xml:space="preserve"> har själfständig inkomst, </w:t>
      </w:r>
      <w:r>
        <w:rPr>
          <w:b/>
        </w:rPr>
        <w:t>hennes²</w:t>
      </w:r>
      <w:r>
        <w:rPr>
          <w:b w:val="0"/>
        </w:rPr>
        <w:t xml:space="preserve"> arbete</w:t>
        <w:br/>
        <w:br/>
        <w:t>inom hemmet och hushållet blir väsentligen mindre eller i alla händelser måste utföras med öfvermåttan stor ansträngning. Jag tror för min del, att den af mig i tredje punkten af motionen gjorda framställningen har goda skäl för sig, och jag tror i själfva verket, att det endast är en kvarlefva från äldre tider, att man icke ännu har förmått sätta sig in däri, att en fullständig delning af makarnas egendomsförvaltning i äktenskapet — och en sådan kan ju numera enligt lag äga rum i alla äktenskap — gör makarna till själfständiga förmögenhetssubjekt och att det då är oegentligt och orättvist att i skattehänseende behandla dem såsom en enhet. Vill man säga det, att de hafva dock gemensamt hushåll och att detta gör, att de böra betraktas såsom en enhet — ja, då svaras, att man borde genomföra den principen också i öfrigt. Det finnes dock ofantligt många andra, t. ex. föräldrar med barn, som hafva själfständiga inkomster, hvilka hafva gemensamt hushåll, men de skatta dock hvar för sig och njuta bevillningsfritt afdrag hvar för sig, likasom med afseende å dem ej heller kommer i fråga någon sammanläggning i afseende å inkomstskatt.</w:t>
        <w:br/>
        <w:br/>
        <w:t>Emellertid skall jag med afseende på denna punkt icke göra något yrkande, utan ställa saken på framtiden, viss att, om den, såsom. jag tror, är berättigad, den nog också så småningom kommer att vinna insteg.</w:t>
        <w:br/>
        <w:br/>
        <w:t xml:space="preserve">Jag kan däremot alldeles icke vara med, när utskottet ifrån sin ståndpunkt beträffande tredje punkten i motionen utan vidare drager «den slutsatsen, att »med denna uppfattning utskottet icke heller har anledning att föreslå en uppdelning af uppgiftsskyldigheten emellan man och </w:t>
      </w:r>
      <w:r>
        <w:rPr>
          <w:b/>
        </w:rPr>
        <w:t>hustru²</w:t>
      </w:r>
      <w:r>
        <w:rPr>
          <w:b w:val="0"/>
        </w:rPr>
        <w:t xml:space="preserve">, utan afstyrker motionen jämväl i den delen.&gt; Det är visserligen sant, att dessa punkter stå i ett visst sammanhang med hvarandra, men de stå alldeles icke i ett sådant sammanhang, att det icke skulle finnas själfständiga skäl för att låta sådana </w:t>
      </w:r>
      <w:r>
        <w:rPr>
          <w:b/>
        </w:rPr>
        <w:t>hustrur²</w:t>
      </w:r>
      <w:r>
        <w:rPr>
          <w:b w:val="0"/>
        </w:rPr>
        <w:t xml:space="preserve">, om hvilka här är fråga, själfva afgifva deklarationsuppgifter, äfven om man icke går in på den i tredje punkten af min motion gjorda framställningen. Dessa själfständiga skäl för andra punkten i min motion äro, att en deklarationsuppgift ju skall afgifvas på »heder och samvete». Huru är det möjligt att fordra af en person, som icke har en förmögenhet under sin förvaltning, att på heder och samvete afgifva uppgift om inkomsten af denna förmögenhet eller att fordra af en person, att han om inkomsten af en annans arbete, öfver hvilken inkomst han icke har att förfoga, skall på heder och samvete afgifva uppgift? Om herrarne blott tänka på några konkreta fall, där sådant inträffar, skola herrarne lätt finna, huru orimlig en dylik fordran är. Om vi tänka oss, att en </w:t>
      </w:r>
      <w:r>
        <w:rPr>
          <w:b/>
        </w:rPr>
        <w:t>hustru²</w:t>
      </w:r>
      <w:r>
        <w:rPr>
          <w:b w:val="0"/>
        </w:rPr>
        <w:t xml:space="preserve"> på grund af mannens slöseri eller oförmåga att förvalta egendom vunnit boskillnad och </w:t>
      </w:r>
      <w:r>
        <w:rPr>
          <w:b/>
        </w:rPr>
        <w:t>hon²</w:t>
      </w:r>
      <w:r>
        <w:rPr>
          <w:b w:val="0"/>
        </w:rPr>
        <w:t xml:space="preserve"> sedan å sitt lilla kapital eller sitt lilla arbete — någon liten rörelse, som </w:t>
      </w:r>
      <w:r>
        <w:rPr>
          <w:b/>
        </w:rPr>
        <w:t>hon²</w:t>
      </w:r>
      <w:r>
        <w:rPr>
          <w:b w:val="0"/>
        </w:rPr>
        <w:t xml:space="preserve"> har — försörjer sig och mannen lefver för sig eller möjligen rent af erhåller något understöd af </w:t>
      </w:r>
      <w:r>
        <w:rPr>
          <w:b/>
        </w:rPr>
        <w:t>hustrun²</w:t>
      </w:r>
      <w:r>
        <w:rPr>
          <w:b w:val="0"/>
        </w:rPr>
        <w:t xml:space="preserve">, är det då icke orimligt att säga, att det är mannen, som i det fallet skall på heder och samvete afgifva deklarationsuppgift, och icke </w:t>
      </w:r>
      <w:r>
        <w:rPr>
          <w:b/>
        </w:rPr>
        <w:t>hustrun²</w:t>
      </w:r>
      <w:r>
        <w:rPr>
          <w:b w:val="0"/>
        </w:rPr>
        <w:t>, hvilken ensam har för-</w:t>
        <w:br/>
        <w:br/>
        <w:t xml:space="preserve">valtningen om hand och således ensam vet, hvad som verkligen influtit och hvars uppgift alltså är den enda, som kan gifva staten den säkerhet, som staten genom deklarationsuppgifterna vill vinna? Det synes mig alldeles påtagligt, att så förhåller sig. Det förekommer emellertid en hel del andra fall än det jag nu exemplifierat, där förhållandet är alldeles detsamma. Om förmögenhetsförvaltningen blifvit skild mellan makar, är det öfver hufvud taget ingalunda sagdt, att mannen har den öfversikt öfver eller det deltagande i </w:t>
      </w:r>
      <w:r>
        <w:rPr>
          <w:b/>
        </w:rPr>
        <w:t>hustruns²</w:t>
      </w:r>
      <w:r>
        <w:rPr>
          <w:b w:val="0"/>
        </w:rPr>
        <w:t xml:space="preserve"> angelägenheter, att han med något slags trygghet vare sig för sig själf eller för staten kan afgifva en sådan uppgift, som staten i detta fall numera fordrar.</w:t>
        <w:br/>
        <w:br/>
        <w:t xml:space="preserve">Jag vill således anhålla att i fråga om den nu föredragna punkten få hemställa, att kammaren måtte fatta ett beslut i ungefärlig öfverensstämmelse med den hemställan, som reservanterna gjort i sin reservation, likväl med någon liten ändring i formuleringen, hvilken ändring jag strax skall närmare angifva. Reservanterna föreslå, »att Riksdagen ville besluta att i skrifvelse till Kungl. Maj:t anhålla, det Kungl. Maj:t täcktes för Riksdagen framlägga förslag till sådana bestämmelser, att gift </w:t>
      </w:r>
      <w:r>
        <w:rPr>
          <w:b/>
        </w:rPr>
        <w:t>kvinna¹</w:t>
      </w:r>
      <w:r>
        <w:rPr>
          <w:b w:val="0"/>
        </w:rPr>
        <w:t xml:space="preserve"> med egendom, däröfver </w:t>
      </w:r>
      <w:r>
        <w:rPr>
          <w:b/>
        </w:rPr>
        <w:t>hon²</w:t>
      </w:r>
      <w:r>
        <w:rPr>
          <w:b w:val="0"/>
        </w:rPr>
        <w:t xml:space="preserve"> enligt lag äger att ensam råda, varder skyldig att rörande den af sagda egendom härflytande inkomst själf afgifva vederbörlig uppgift.» Denna formulering är, tror jag, något oegentlig, därför att den endast talar om afkomst af egendom och kapital; den borde enligt min tanke äfven ha innefattat gift </w:t>
      </w:r>
      <w:r>
        <w:rPr>
          <w:b/>
        </w:rPr>
        <w:t>kvinnas¹</w:t>
      </w:r>
      <w:r>
        <w:rPr>
          <w:b w:val="0"/>
        </w:rPr>
        <w:t xml:space="preserve"> arbetsinkomst, hvaröfver </w:t>
      </w:r>
      <w:r>
        <w:rPr>
          <w:b/>
        </w:rPr>
        <w:t>hon²</w:t>
      </w:r>
      <w:r>
        <w:rPr>
          <w:b w:val="0"/>
        </w:rPr>
        <w:t xml:space="preserve"> äger att ensam råda. Jag skulle följaktligen vilja hemställa, att formuleringen finge följande lydelse: »— — — — att gift </w:t>
      </w:r>
      <w:r>
        <w:rPr>
          <w:b/>
        </w:rPr>
        <w:t>kvinna¹</w:t>
      </w:r>
      <w:r>
        <w:rPr>
          <w:b w:val="0"/>
        </w:rPr>
        <w:t xml:space="preserve"> med inkomst, däröfver </w:t>
      </w:r>
      <w:r>
        <w:rPr>
          <w:b/>
        </w:rPr>
        <w:t>hon²</w:t>
      </w:r>
      <w:r>
        <w:rPr>
          <w:b w:val="0"/>
        </w:rPr>
        <w:t xml:space="preserve"> enligt lag äger att ensam råda, varder skyldig att öfver densamma själf afgifva vederbörlig uppgift.»</w:t>
        <w:br/>
        <w:br/>
        <w:t xml:space="preserve">Jag anser mig böra meddela kammaren, att denna motion har väckt lifliga sympatier och fått lifligt understöd från åtskilliga håll, särskildt från en del </w:t>
      </w:r>
      <w:r>
        <w:rPr>
          <w:b/>
        </w:rPr>
        <w:t>kvinnliga¹</w:t>
      </w:r>
      <w:r>
        <w:rPr>
          <w:b w:val="0"/>
        </w:rPr>
        <w:t xml:space="preserve"> föreningar, för hvilkas yttrande i frågan jag strax skall redogöra. Innan jag det gör, vill jag emellertid anmärka — hvilket kanske kan vara af intresse att höra för de af kammarens ledamöter, som möjligen uppfattat min motion såsom en angelägenhet, som uteslutande skulle intressera </w:t>
      </w:r>
      <w:r>
        <w:rPr>
          <w:b/>
        </w:rPr>
        <w:t>kvinnorna¹</w:t>
      </w:r>
      <w:r>
        <w:rPr>
          <w:b w:val="0"/>
        </w:rPr>
        <w:t xml:space="preserve"> — att jag, sedan jag väckte motionen, mottagit åtskilliga framställningar i bref ifrån gifta män, hvilka uttalat den allra största tacksamhet för det. i motionen framlagda förslaget. Jag vill anföra ett exempel härpå, för att herrarne skola finna, att denna fråga verkligen kan ganska grundligt intressera äfven gifta män. En sådan skref till mig för några dagar sedan, med anledning just af min motion, och omtalade följande. Han hade sedan april 1893 icke haft förmånen att en enda gång se sin </w:t>
      </w:r>
      <w:r>
        <w:rPr>
          <w:b/>
        </w:rPr>
        <w:t>hustru²</w:t>
      </w:r>
      <w:r>
        <w:rPr>
          <w:b w:val="0"/>
        </w:rPr>
        <w:t xml:space="preserve">, som vid den tiden hade alldeles öfvergifvit honom; förra året afgaf han sin deklarationsuppgift, däri hans inkomst upptogs till 2,160 kronor, men då han i år erhöll sin debetsedel, upptog denna hans inkomst till 3,200 kronor; </w:t>
      </w:r>
      <w:r>
        <w:rPr>
          <w:b/>
        </w:rPr>
        <w:t>hustrun²</w:t>
      </w:r>
      <w:r>
        <w:rPr>
          <w:b w:val="0"/>
        </w:rPr>
        <w:t>, hvilkensvistelseort han icke ens längre kände till, hade i mantalsuppgift</w:t>
        <w:br/>
        <w:br/>
        <w:t xml:space="preserve">meddelat sin ställning, och taxeringsmyndigheterna hade sedan på grund däraf uppskattat </w:t>
      </w:r>
      <w:r>
        <w:rPr>
          <w:b/>
        </w:rPr>
        <w:t>henne²</w:t>
      </w:r>
      <w:r>
        <w:rPr>
          <w:b w:val="0"/>
        </w:rPr>
        <w:t xml:space="preserve"> för inkomst och lagt denna till mannens inkomst; sålunda fick denne — såsom han själf skrifver — trots sin ärligen deklarerade inkomst å 2,160 kronor skatta för 3,200 kronor, således äfven för </w:t>
      </w:r>
      <w:r>
        <w:rPr>
          <w:b/>
        </w:rPr>
        <w:t>hustruns²</w:t>
      </w:r>
      <w:r>
        <w:rPr>
          <w:b w:val="0"/>
        </w:rPr>
        <w:t xml:space="preserve"> inkomst, ehuru </w:t>
      </w:r>
      <w:r>
        <w:rPr>
          <w:b/>
        </w:rPr>
        <w:t>hon²</w:t>
      </w:r>
      <w:r>
        <w:rPr>
          <w:b w:val="0"/>
        </w:rPr>
        <w:t xml:space="preserve"> sedan 1893 icke synts till och icke på ringaste sätt vårdat sig om hemmet eller deltagit i barnens uppfostran eller dylikt. Häraf se herrarne, att en rättfärdig sak ibland är rättfärdig för båda könen och icke blott för det ena.</w:t>
        <w:br/>
        <w:br/>
        <w:t xml:space="preserve">Jag skall icke besvära kammaren med att föredraga samtliga de telegram och skrifvelser, som jag mottagit rörande denna fråga. Jag kan emellertid försäkra, att de äro ganska intressanta och egendomliga. Jag har många gånger sett andra personer mottaga resolutioner och uttalanden i politiska frågor, och jag har äfven själf någon gång mottagit dylika, och dessa bruka då ofta nog utmärka sig för en underbar likhet i formuleringen, men beträffande de skrifvelser och telegram, hvarom här är fråga, är det verkligen tydligt, att hvar och en af de </w:t>
      </w:r>
      <w:r>
        <w:rPr>
          <w:b/>
        </w:rPr>
        <w:t>kvinnliga¹</w:t>
      </w:r>
      <w:r>
        <w:rPr>
          <w:b w:val="0"/>
        </w:rPr>
        <w:t xml:space="preserve"> föreningar, som afsändt dem, haft sina egna tankar om saken och själfva affattat formuleringen. Jag vill anmärka detta som en egendomlighet, då det är </w:t>
      </w:r>
      <w:r>
        <w:rPr>
          <w:b/>
        </w:rPr>
        <w:t>kvinnorna¹</w:t>
      </w:r>
      <w:r>
        <w:rPr>
          <w:b w:val="0"/>
        </w:rPr>
        <w:t xml:space="preserve">, som den här gången tala. Jag ber att få uppläsa blott en af de resolutioner, som kommit mig till handa rörande den nu föreliggande frågan, nämligen den resolution, som blifvit fattad af föreningen för </w:t>
      </w:r>
      <w:r>
        <w:rPr>
          <w:b/>
        </w:rPr>
        <w:t>kvinnans¹</w:t>
      </w:r>
      <w:r>
        <w:rPr>
          <w:b w:val="0"/>
        </w:rPr>
        <w:t xml:space="preserve"> politiska rösträtt i Stockholm. TI denna sin resolution uttalar föreningen först sin lifliga anslutning till de i motionen framställda önskemålen och säger vidare: »Föreningen har sedan början af sin verksamhet ägnat frågan om den gifta </w:t>
      </w:r>
      <w:r>
        <w:rPr>
          <w:b/>
        </w:rPr>
        <w:t>kvinnans¹</w:t>
      </w:r>
      <w:r>
        <w:rPr>
          <w:b w:val="0"/>
        </w:rPr>
        <w:t xml:space="preserve"> kommunala rösträtt mycken uppmärksamhet och på olika vägar kommit till erfarenhet om den oklarhet, som i detta fall vidlåder skattelagstiftningen och däraf följande osäkerhet i dess tillämpning. Inkomstskatteförordningens bestämmelser hafva ökat svårigheterna för den gifta </w:t>
      </w:r>
      <w:r>
        <w:rPr>
          <w:b/>
        </w:rPr>
        <w:t>kvinnans¹</w:t>
      </w:r>
      <w:r>
        <w:rPr>
          <w:b w:val="0"/>
        </w:rPr>
        <w:t xml:space="preserve"> åtnjutande af kommunal rösträtt, för hvilken — utanför skattelagstiftningen — icke lär finnas något principiellt hinder. — Då det för samhällets sunda utveckling icke kan vara likgiltigt, om den ständigt växande skaran af gifta </w:t>
      </w:r>
      <w:r>
        <w:rPr>
          <w:b/>
        </w:rPr>
        <w:t>kvinnor¹</w:t>
      </w:r>
      <w:r>
        <w:rPr>
          <w:b w:val="0"/>
        </w:rPr>
        <w:t xml:space="preserve">, som hafva egendom under egen förvaltning, kan begagna sig af det kommunala infytande, hvilket tillkommer öfriga lika kvalificerade medborgare, får föreningen för </w:t>
      </w:r>
      <w:r>
        <w:rPr>
          <w:b/>
        </w:rPr>
        <w:t>kvinnans¹</w:t>
      </w:r>
      <w:r>
        <w:rPr>
          <w:b w:val="0"/>
        </w:rPr>
        <w:t xml:space="preserve"> politiska rösträtt i Stockholm uttala den förhoppning, att Riksdagen måtte bifalla de af rättvisa, följdriktighet och samhällsgagn motiverade bestämmelser i finanslagstiftningen, hvilka af herr K. Staaffs motion förordas.&gt; Jag har erhållit skrifvelser af samma innebörd — ehuru som sagdt ej samma form — från liknande föreningar i Malmö, Linköping, Växjö, Lund, Söderhamn, Hudiksvall, Örebro, Helsingborg, Landskrona, Östersund, Skara, Gellivare, Sundsvall, Halmstad, Varberg, Ronneby, Umeå, Uppsala, Engelholm, Norrköping, Karlstad, Göteborg, Nyköping och Karlskrona.</w:t>
        <w:br/>
        <w:br/>
        <w:t>Häraf se herrarne således, att det finnes mycket intresse för</w:t>
        <w:br/>
        <w:br/>
        <w:t>Om vissa denna sak rundt omkring i landet. Och om herrarne nu icke ställa VIDA sig välvilliga gentemot denna motion, så komma herrarne nog att och inkometmöta åtskilliga opponenter här och där, när herrarne kommit hem. skatteförord- Jag vill tillåta mig, herr talman, att, med åberopande af de ningarna i grunder jag anfört, vördsamt hemställa om bifall till det af mig</w:t>
      </w:r>
    </w:p>
    <w:p>
      <w:pPr>
        <w:pStyle w:val="Heading2"/>
      </w:pPr>
      <w:r>
        <w:t>2. Ernst Lindblad (Lantmannapartiet, man)</w:t>
      </w:r>
    </w:p>
    <w:p>
      <w:r>
        <w:rPr>
          <w:b w:val="0"/>
        </w:rPr>
        <w:t>Herr talman! De intressanta meddelanden angående sympatiuttalanden, som herr Staaff här i kammaren lämnat, voro visserligen icke för utskottet bekanta, men jag tror, att utskottet icke förty sökt att gå motionärens framställning till mötes, så långt rimligtvis kunnat ske, åtminstone för det närvarande. Jag tror äfven, att det beslut, Riksdagen redan fattat i fråga om första punkten af detta betänkande, innefattar ett undanröjande af de svårare olägenheter, på hvilka talaren anförde exempel. Om regeringen framkommer med ett förslag, som tillmötesgår den af Riksdagen nu beslutade framställningen och sedan detta blifvit antaget, har man enligt min åsikt icke att vänta några sådana fall, som nu anfördes. Skulle på grund af Riksdagens skrifvelse det kunna komma att inflyta i våra skattebestämmelser någonting, som motsvarade det stadgande i den danska lagen, som säger: »</w:t>
      </w:r>
      <w:r>
        <w:rPr>
          <w:b/>
        </w:rPr>
        <w:t>Hustru²</w:t>
      </w:r>
      <w:r>
        <w:rPr>
          <w:b w:val="0"/>
        </w:rPr>
        <w:t>, der til Stadighed lever adskilt fra sin Mand, bliver at betragte som selvstendig skattepligtig Person, med Hensyn til den Del af sin Indkomst, der ikke bestaar i Bidrag fra Manden,» så vore detta, enligt hvad jag kan finna, icke någon orimlighet. Jag tror tvärtom, att en sådan bestämmelse hade ganska mycket skäl för sig.</w:t>
        <w:br/>
        <w:br/>
        <w:t xml:space="preserve">Huruvida emellertid af det nu anförda bör framgå, att gift </w:t>
      </w:r>
      <w:r>
        <w:rPr>
          <w:b/>
        </w:rPr>
        <w:t>kvinna¹</w:t>
      </w:r>
      <w:r>
        <w:rPr>
          <w:b w:val="0"/>
        </w:rPr>
        <w:t xml:space="preserve">, som har egendom under sin förvaltning, skall själfdeklarera, lämnar jag därhän. Jag vill erinra herrarne om en bestämmelse, som förefinnes i nu gällande bevillningsförordning. Det stadgas där i 8 69: »Ordförande i och ledamot af bevillningsberedning, taxeringsnämnd och pröfningsnämnd skall vid fullgörandet af sitt uppdrag ställa sig till ovillkorlig efterrättelse de föreskrifter, denna förordning och den till ledning för taxeringsmyndigheterna utfärdade instruktion innehålla, samt, efter sorgfällig granskning och samvetsgrann pröfning af meddelade uppgifter och för öfrigt upplysta eller kända förhållanden, efter bästa förstånd samt på heder och samvete föreslå, bestämma och fastställa taxeringen, så att densamma varder i möjligaste måtto jämlik och rättvis.» När detta kan åläggas helt och hållet främmande personer, hvilkas uppfattning och kännedom om de skattskyldige väl 1 många fall torde vara rent minimal, hemställer jag, huruvida det ligger något orimligt i att anse, att mannen bör åtminstone lika väl som dessa främmande personer kunna på heder och samvete uppgifva </w:t>
      </w:r>
      <w:r>
        <w:rPr>
          <w:b/>
        </w:rPr>
        <w:t>hustruns²</w:t>
      </w:r>
      <w:r>
        <w:rPr>
          <w:b w:val="0"/>
        </w:rPr>
        <w:t xml:space="preserve"> inkomster, och jag tror icke, att taxeringsmännen äro bättre än mannen i stånd därtill. Därjämte är att märka, att genom en sådan uppdelning i rätt många fall skyldigheten att deklarera skulle</w:t>
        <w:br/>
        <w:br/>
        <w:t>försvinna, då åter det saummanräknade inkomstbeloppet vore deklarationspliktigt.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