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43</w:t>
      </w:r>
    </w:p>
    <w:p>
      <w:r>
        <w:rPr>
          <w:b/>
        </w:rPr>
        <w:t xml:space="preserve">Datum: </w:t>
      </w:r>
      <w:r>
        <w:t>1904-05-07</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Gösta Tamm (Liberala samlingspartiet, man)</w:t>
      </w:r>
    </w:p>
    <w:p>
      <w:r>
        <w:rPr>
          <w:b w:val="0"/>
        </w:rPr>
        <w:t xml:space="preserve">Herr grefve och talman, mina herrar! Det är en tämligen vanlig sak, att för beredande af framgång åt det hela något offer måste göras, och det synes mig, att fär </w:t>
      </w:r>
      <w:r>
        <w:rPr>
          <w:b/>
        </w:rPr>
        <w:t>änkefru²</w:t>
      </w:r>
      <w:r>
        <w:rPr>
          <w:b w:val="0"/>
        </w:rPr>
        <w:t xml:space="preserve"> Wiborgh varit offret, då ju detta är det enda fall, i hvilket utskottet helt och hållet afstyrkt bifall till någon Kungl. Maj:ts framställning angående pension.</w:t>
        <w:br/>
        <w:br/>
        <w:t xml:space="preserve">Jag skall visserligen icke förneka, att det är möjligt att hafva en nödtorftig bärgning med en pension af 600 kronor; hvilket belopp </w:t>
      </w:r>
      <w:r>
        <w:rPr>
          <w:b/>
        </w:rPr>
        <w:t>änkefru²</w:t>
      </w:r>
      <w:r>
        <w:rPr>
          <w:b w:val="0"/>
        </w:rPr>
        <w:t xml:space="preserve"> Wiborgh är berättigad att uppbära från civilstatens </w:t>
      </w:r>
      <w:r>
        <w:rPr>
          <w:b/>
        </w:rPr>
        <w:t>änkeoch²</w:t>
      </w:r>
      <w:r>
        <w:rPr>
          <w:b w:val="0"/>
        </w:rPr>
        <w:t xml:space="preserve"> pupillfond; jag skall heller icke bestrida, att af den i boet efterlämnade behållning af 6,746 kronor något kan komma att återstå till förräntning och sålunda öka det belopp af 600 kronor, hvaraf </w:t>
      </w:r>
      <w:r>
        <w:rPr>
          <w:b/>
        </w:rPr>
        <w:t>fru²</w:t>
      </w:r>
      <w:r>
        <w:rPr>
          <w:b w:val="0"/>
        </w:rPr>
        <w:t xml:space="preserve"> Wiborgh har att för framtiden lefva; men det blir i alla fall icke mer än en nödtorftig bärgning, och det vill förefalla mig, att de förtjänster, som professor Wiborgh under lifstiden ådagalagt, skulle kunna berättiga hans </w:t>
      </w:r>
      <w:r>
        <w:rPr>
          <w:b/>
        </w:rPr>
        <w:t>änka²</w:t>
      </w:r>
      <w:r>
        <w:rPr>
          <w:b w:val="0"/>
        </w:rPr>
        <w:t xml:space="preserve"> till att erhålla en något bättre ställning än blott en möjlighet att nödtorftigt uppehålla sig.</w:t>
        <w:br/>
        <w:br/>
        <w:t>Herrarne hafva erfarit, huruledes genom professor Wiborghs åtgöranden åtskilliga skördar för jordbruket kunnat vinnas, och antagligt är, att så för framtiden också kommer att blifva, äfven om den metod, som professor Wiborgh införde, behöfver någon förbättring och komplettering.</w:t>
        <w:br/>
        <w:br/>
        <w:t xml:space="preserve">En omständighet, om hvilken statsutskottet icke hade kännedom, skall jag nu be att få meddela kammaren, då det nämligen synes mig, som om densamma vore af vikt för bestämmande af huruvida </w:t>
      </w:r>
      <w:r>
        <w:rPr>
          <w:b/>
        </w:rPr>
        <w:t>änkefru²</w:t>
      </w:r>
      <w:r>
        <w:rPr>
          <w:b w:val="0"/>
        </w:rPr>
        <w:t xml:space="preserve"> Wiborgh skall hafva någon pension af statsverket eller icke.</w:t>
        <w:br/>
        <w:br/>
        <w:t>Det är nämligen fallet, att för närvarande finnes i metallurgi icke någon lärobok, som fullt tillfredsställer behofvet. Jag ber</w:t>
        <w:br/>
        <w:br/>
        <w:t xml:space="preserve">feg </w:t>
      </w:r>
      <w:r>
        <w:rPr>
          <w:b/>
        </w:rPr>
        <w:t>änka²</w:t>
      </w:r>
      <w:r>
        <w:rPr>
          <w:b w:val="0"/>
        </w:rPr>
        <w:t>. Att med detta uttalande icke få anses hafva på något sätt sårat</w:t>
        <w:br/>
        <w:br/>
        <w:t>e två ärade författare, tillhörande denna kammare, som lämnat</w:t>
        <w:br/>
        <w:br/>
        <w:t xml:space="preserve">sina bidrag till detta behofs tillfredsställande, då de författat läroböcker i samma ämne. Men dessa läroböcker hafva, liksom författarne, grånat; de äro icke vidare tillräckliga för behofvet, och man kan icke begära, att dessa författare, som upphört att vara lärare i ämnet, skola utarbeta nya upplagor i ett skick, som tillfredsställer det närvarande behofvet. Eleverna vid statens läroverk för metallurgi äro för närvarande hänvisade till att använda en tysk lärobok af professor Ledebur, hvilken dock icke är i alla afseenden lämplig för svenska förhållanden, utan måste kompletteras genom föreläsningar. Den kostar för öfrigt i bokhandeln 42 mark i Tyskland, hvilket brukar öfversättas på svenska med 42 kronor i Sverige, hvartill kommer, att den är affattad på tyska språket. Den är således för lärjungarne dels onödigt dyrbar, dels icke i alla afseenden tillfredsställande. Nu har professor Wiborgh under lifstiden för sina föreläsningar utarbetat en fullständig framställning, hvilken är förvarad i manuskript och undergått granskning af i ämnet fullt kompetenta personer. Detta manuskript har blifvit af </w:t>
      </w:r>
      <w:r>
        <w:rPr>
          <w:b/>
        </w:rPr>
        <w:t>änkefru²</w:t>
      </w:r>
      <w:r>
        <w:rPr>
          <w:b w:val="0"/>
        </w:rPr>
        <w:t xml:space="preserve"> Wiborgh skänkt till ett statens läroverk, tekniska högskolan i Stockholm, och kommer att af lärare vid denna högskola utan vidare kostnad bearbetas. Genom ett särskildt anslag från annat håll kommer därefter denna fullständiga och, efter hvad som med bestämdhet påstås, mycket goda lärobok att kunna tillhandahållas eleverna för ett pris af 10 kronor.</w:t>
        <w:br/>
        <w:br/>
        <w:t xml:space="preserve">Detta synes mig vara ett så värderikt bidrag för ett statsändamål, att den, som har lämnat medel därtill, icke borde af Riksdagen förglömmas, när </w:t>
      </w:r>
      <w:r>
        <w:rPr>
          <w:b/>
        </w:rPr>
        <w:t>hon²</w:t>
      </w:r>
      <w:r>
        <w:rPr>
          <w:b w:val="0"/>
        </w:rPr>
        <w:t xml:space="preserve"> är i behof af ett ytterligare understöd. Det af Kungl. Maj:t begärda beloppet, 300 kronor, är efter min uppfattning så pass ringa, att det skulle förvåna mig, om icke Riksdagen, och särskildt Första Kammaren, skulle vilja behjärta detta och med vanlig frikostighet lämna sitt bifall till hvad Kungl. Maj:t i förevarande afseende föreslagit. Jag ber att få hemställa, att kammaren måtte, med afslag å utskottets hemställan, bifalla Kungl. Maj:ts proposition.</w:t>
      </w:r>
    </w:p>
    <w:p>
      <w:pPr>
        <w:pStyle w:val="Heading2"/>
      </w:pPr>
      <w:r>
        <w:t>2. Hjalmar Palmstierna (Nya lantmannapartiet, man)</w:t>
      </w:r>
    </w:p>
    <w:p>
      <w:r>
        <w:rPr>
          <w:b w:val="0"/>
        </w:rPr>
        <w:t xml:space="preserve">Herr grefve och talman, mina herrar! Hvad professor Wiborghs förtjänster beträffar, vill jag naturligtvis icke alls disputera om dem, men jag tror icke, att de egentligen höra hit, och jag tror heller icke, att man kan betrakta denna 24:e punkt såsom ett särskildt offer för en öfverenskommelse mellan de olika partierna inom statsutskottet. Det nämndes, att dessa 600 kronor lämnade allenast en mycket nödtorftig bärgning och att därför </w:t>
      </w:r>
      <w:r>
        <w:rPr>
          <w:b/>
        </w:rPr>
        <w:t>änkefru²</w:t>
      </w:r>
      <w:r>
        <w:rPr>
          <w:b w:val="0"/>
        </w:rPr>
        <w:t xml:space="preserve"> Wiborgh väl behöfde ytterligare 300 kronor för att existera. Ja, det vill jag icke bestrida, men då är frågan den: äro </w:t>
      </w:r>
      <w:r>
        <w:rPr>
          <w:b/>
        </w:rPr>
        <w:t>änkepensionerna²</w:t>
      </w:r>
      <w:r>
        <w:rPr>
          <w:b w:val="0"/>
        </w:rPr>
        <w:t xml:space="preserve"> för små? Det</w:t>
        <w:br/>
        <w:br/>
        <w:t xml:space="preserve">är ju så, att icke blott </w:t>
      </w:r>
      <w:r>
        <w:rPr>
          <w:b/>
        </w:rPr>
        <w:t>änkan²</w:t>
      </w:r>
      <w:r>
        <w:rPr>
          <w:b w:val="0"/>
        </w:rPr>
        <w:t xml:space="preserve"> Wiborgh, utan så godt som alla änkor kunna ganska väl behöfva att få ett tillägg till sin pen-</w:t>
        <w:br/>
        <w:br/>
        <w:t>sion; men pensionsstaten för änkor är nu en gång bestämd, och</w:t>
        <w:br/>
        <w:br/>
        <w:t>det föreliggande fallet bildar icke något undantag.</w:t>
        <w:br/>
        <w:br/>
        <w:t xml:space="preserve">Efter hvad utskottet kunnat finna, hafva af Riksdagen förut gjorts två undantag beträffande änkor. Det ena gällde generallöjtnant Rydings </w:t>
      </w:r>
      <w:r>
        <w:rPr>
          <w:b/>
        </w:rPr>
        <w:t>änka²</w:t>
      </w:r>
      <w:r>
        <w:rPr>
          <w:b w:val="0"/>
        </w:rPr>
        <w:t xml:space="preserve">, som på grund af särskilda skäl fick till sin öfriga pension ett tillskott af staten. Det andra undantaget afsåg en </w:t>
      </w:r>
      <w:r>
        <w:rPr>
          <w:b/>
        </w:rPr>
        <w:t>änka²</w:t>
      </w:r>
      <w:r>
        <w:rPr>
          <w:b w:val="0"/>
        </w:rPr>
        <w:t xml:space="preserve"> Widmark, som år 1902 fick ett tillskott, hvilket visserligen uppgick till 300 kronor, men härvid är att märka, att </w:t>
      </w:r>
      <w:r>
        <w:rPr>
          <w:b/>
        </w:rPr>
        <w:t>hennes²</w:t>
      </w:r>
      <w:r>
        <w:rPr>
          <w:b w:val="0"/>
        </w:rPr>
        <w:t xml:space="preserve"> öfriga pension utgjorde allenast 200 kronor, så att det sammanlagda beloppet kom att utgöra blott 500 kronor. I förevarande fall däremot åtnjuter </w:t>
      </w:r>
      <w:r>
        <w:rPr>
          <w:b/>
        </w:rPr>
        <w:t>änkan²</w:t>
      </w:r>
      <w:r>
        <w:rPr>
          <w:b w:val="0"/>
        </w:rPr>
        <w:t xml:space="preserve"> Wiborgh full pension, och </w:t>
      </w:r>
      <w:r>
        <w:rPr>
          <w:b/>
        </w:rPr>
        <w:t>hennes²</w:t>
      </w:r>
      <w:r>
        <w:rPr>
          <w:b w:val="0"/>
        </w:rPr>
        <w:t xml:space="preserve"> barn äro fullvuxna. Skulle </w:t>
      </w:r>
      <w:r>
        <w:rPr>
          <w:b/>
        </w:rPr>
        <w:t>hon²</w:t>
      </w:r>
      <w:r>
        <w:rPr>
          <w:b w:val="0"/>
        </w:rPr>
        <w:t xml:space="preserve"> nu utöfver den pension, till hvilken </w:t>
      </w:r>
      <w:r>
        <w:rPr>
          <w:b/>
        </w:rPr>
        <w:t>hon²</w:t>
      </w:r>
      <w:r>
        <w:rPr>
          <w:b w:val="0"/>
        </w:rPr>
        <w:t xml:space="preserve"> enligt staten är berättigad, få ett tillägg från Riksdagen, så vore detta naturligtvis ett mycket farligt prejudikat, då ju alla änkor, som icke hafva förmögenhet efter sina män, skulle kunna med samma skäl, därest deras män varit i någon mån bemärkta, begära en tillökning i sin pension. Och hvad det beträffar, att dessa 300 kronor vore en mycket ringa tillökning, skulle dock </w:t>
      </w:r>
      <w:r>
        <w:rPr>
          <w:b/>
        </w:rPr>
        <w:t>änkan²</w:t>
      </w:r>
      <w:r>
        <w:rPr>
          <w:b w:val="0"/>
        </w:rPr>
        <w:t xml:space="preserve"> Wiborgh därigenom komma upp till 900 kronor, under det att den högsta pension, som enligt gällande bestämmelser kan utgå till någon </w:t>
      </w:r>
      <w:r>
        <w:rPr>
          <w:b/>
        </w:rPr>
        <w:t>änka²</w:t>
      </w:r>
      <w:r>
        <w:rPr>
          <w:b w:val="0"/>
        </w:rPr>
        <w:t xml:space="preserve">, efter hvilken ämbetsman det än må vara och i hvilken ställning han än befunnit sig, icke utgör mer än 800 kronor, när </w:t>
      </w:r>
      <w:r>
        <w:rPr>
          <w:b/>
        </w:rPr>
        <w:t>änkan²</w:t>
      </w:r>
      <w:r>
        <w:rPr>
          <w:b w:val="0"/>
        </w:rPr>
        <w:t xml:space="preserve"> icke har minderåriga barn.</w:t>
        <w:br/>
        <w:br/>
        <w:t>Således, herr grefve och talman, kan jag för min del icke annat än alldeles bestämdt hemställa om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43</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