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55</w:t>
      </w:r>
    </w:p>
    <w:p>
      <w:r>
        <w:rPr>
          <w:b/>
        </w:rPr>
        <w:t xml:space="preserve">Datum: </w:t>
      </w:r>
      <w:r>
        <w:t>1905-05-01</w:t>
      </w:r>
    </w:p>
    <w:p>
      <w:r>
        <w:rPr>
          <w:b/>
        </w:rPr>
        <w:t xml:space="preserve">Kammare: </w:t>
      </w:r>
      <w:r>
        <w:t>Första kammaren</w:t>
      </w:r>
    </w:p>
    <w:p>
      <w:r>
        <w:rPr>
          <w:b/>
        </w:rPr>
        <w:t xml:space="preserve">Antal yttranden: </w:t>
      </w:r>
      <w:r>
        <w:t>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Axel Hansson Wachtmeister (–, man)</w:t>
      </w:r>
    </w:p>
    <w:p>
      <w:r>
        <w:rPr>
          <w:b w:val="0"/>
        </w:rPr>
        <w:t>Alla vänner af en förbättrad fattigvård äro helt visst tacksamma för utskottets här framlagda utlåtande. Men icke hafva alla de förändringar i vår fattigvård, som äro önskvärda, här blifvit påpekade. Nog återstå ännu åtskilliga.</w:t>
        <w:br/>
        <w:br/>
        <w:t xml:space="preserve">Jag tänker, bland annat, på $ 3 af den nuvarande förordningen, som ålägger arbetsför </w:t>
      </w:r>
      <w:r>
        <w:rPr>
          <w:b/>
        </w:rPr>
        <w:t>änka²</w:t>
      </w:r>
      <w:r>
        <w:rPr>
          <w:b w:val="0"/>
        </w:rPr>
        <w:t xml:space="preserve">, oberoende af om </w:t>
      </w:r>
      <w:r>
        <w:rPr>
          <w:b/>
        </w:rPr>
        <w:t>hon²</w:t>
      </w:r>
      <w:r>
        <w:rPr>
          <w:b w:val="0"/>
        </w:rPr>
        <w:t xml:space="preserve"> har ett dussin minderåriga barn, att utan fattigvårdssamhällets betungande försörja sig själf och alla dessa barn, Detta är nu faktiskt omöjligt, men jag har flere gånger mottagit besvär i liknande fall. Visserligen hafva vederbörande fattigvårdsstyrelser i hvarje fall låtit tala med sig, men dels är det icke säkert, att så alltid låter sig göra, dels är det väl också tillbörligt, att en sådan stackars </w:t>
      </w:r>
      <w:r>
        <w:rPr>
          <w:b/>
        </w:rPr>
        <w:t>kvinna¹</w:t>
      </w:r>
      <w:r>
        <w:rPr>
          <w:b w:val="0"/>
        </w:rPr>
        <w:t xml:space="preserve"> äfven skall hafva lagen på sin sida.</w:t>
        <w:br/>
        <w:br/>
        <w:t>Jag tänker också på den i en af motionerna omnämnda g. k. sockengången, som åtminstone under vissa förhållanden kan vara synnerligen upprörande.</w:t>
        <w:br/>
        <w:br/>
        <w:t>Men alldeles särskildt vill jag framhålla ett i mitt tycke Om revision</w:t>
        <w:br/>
        <w:br/>
        <w:t xml:space="preserve">och det är inrymmandet af större rätt åt </w:t>
      </w:r>
      <w:r>
        <w:rPr>
          <w:b/>
        </w:rPr>
        <w:t>kvinnan¹</w:t>
      </w:r>
      <w:r>
        <w:rPr>
          <w:b w:val="0"/>
        </w:rPr>
        <w:t xml:space="preserve"> att deltaga i ningen. den ordnade fattigvården. Vi veta alla, i hvilken utsträckning (Forts.) </w:t>
      </w:r>
      <w:r>
        <w:rPr>
          <w:b/>
        </w:rPr>
        <w:t>kvinnan¹</w:t>
      </w:r>
      <w:r>
        <w:rPr>
          <w:b w:val="0"/>
        </w:rPr>
        <w:t xml:space="preserve"> egnar sina tjänster åt den enskilda välgörenheten. Det är då orätt att icke begagna sig af </w:t>
      </w:r>
      <w:r>
        <w:rPr>
          <w:b/>
        </w:rPr>
        <w:t>hennes²</w:t>
      </w:r>
      <w:r>
        <w:rPr>
          <w:b w:val="0"/>
        </w:rPr>
        <w:t xml:space="preserve"> naturliga förmåga och håg att hjälpa och lindra nöd och fattigdom äfven i afseende å den ordnade fattigvården. Efter mitt förmenande skulle genom den större ömsinthet, som genom </w:t>
      </w:r>
      <w:r>
        <w:rPr>
          <w:b/>
        </w:rPr>
        <w:t>kvinnan¹</w:t>
      </w:r>
      <w:r>
        <w:rPr>
          <w:b w:val="0"/>
        </w:rPr>
        <w:t xml:space="preserve"> skulle tillföras fattigvårdsstyrelserna, i många fall de nu öfverklagade bristerna i vår fattigvårdslagstiftning kunma afhjälpas. Särskildt tänker jag på den väl behöfliga modersvård, som de åt fattigvården öfverlämnade barnen därigenom skulle kunna erhålla.</w:t>
        <w:br/>
        <w:br/>
        <w:t xml:space="preserve">Nu säger man, att möjlighet är ju beredd för kommunerna att i fattigvårdsstyrelserna insätta </w:t>
      </w:r>
      <w:r>
        <w:rPr>
          <w:b/>
        </w:rPr>
        <w:t>kvinnor¹</w:t>
      </w:r>
      <w:r>
        <w:rPr>
          <w:b w:val="0"/>
        </w:rPr>
        <w:t xml:space="preserve">. Ja, så är det, men huru har man begagnat sig af denna möjlighet? Atminstone för större delen af landsbygden står denna ännu såsom en död bokstaf och har ytterst sällan begagnats — hvarför vet jag ej. Kanske därför att, då särskild fattigvårdsstyrelse ej är obligatorisk, man finner det bekvämare att låta kommunalnämnden fungera såsom sådan. Kanske också på sina ställen därför att man befarar, att </w:t>
      </w:r>
      <w:r>
        <w:rPr>
          <w:b/>
        </w:rPr>
        <w:t>kvinnans¹</w:t>
      </w:r>
      <w:r>
        <w:rPr>
          <w:b w:val="0"/>
        </w:rPr>
        <w:t xml:space="preserve"> större medlidsamhet skulle förorsaka fattigvårdssamhället större utgifter.</w:t>
        <w:br/>
        <w:br/>
        <w:t xml:space="preserve">Ett fel är det emellertid, enligt min uppfattning, att icke såsom sig bör till samhällets bästa begagna sig af </w:t>
      </w:r>
      <w:r>
        <w:rPr>
          <w:b/>
        </w:rPr>
        <w:t>kvinnans¹</w:t>
      </w:r>
      <w:r>
        <w:rPr>
          <w:b w:val="0"/>
        </w:rPr>
        <w:t xml:space="preserve"> naturliga förmåga att hjälpa oss vid handhafvandet af den ansvarsfulla och ömtåliga vården af våra fattiga.</w:t>
        <w:br/>
        <w:br/>
        <w:t>Jag har velat yttra dessa ord för att få dem till protokollet, därest möjligen Kungl. Maj:t vid en blifvande revision af fattigvårdslagstiftningen skulle vilja taga någon hänsyn till dem.</w:t>
        <w:br/>
        <w:br/>
        <w:t>Herr talman, jag har intet yrkande.</w:t>
      </w:r>
    </w:p>
    <w:p>
      <w:pPr>
        <w:pStyle w:val="Heading2"/>
      </w:pPr>
      <w:r>
        <w:t>2. Cornelius Sjöcrona (Första kammarens protektionistiska parti, man)</w:t>
      </w:r>
    </w:p>
    <w:p>
      <w:r>
        <w:rPr>
          <w:b w:val="0"/>
        </w:rPr>
        <w:t>Såsom herrarne behaga inhämta af det nu föreliggande betänkandet, äro de i ämnet väckta motionerna ganska vidt sväfvande och föreslå hvarjehanda mycket långt gående ändringar i, ja, till och med fullständig omarbetning af hela vår fattigvårdsförordning. Lagutskottet har ägnat denna fråga en mycket omsorgsfull och enligt min åsikt ganska förtjänstfull behandling och har därvid fästat uppmärksamheten på att flere af de punkter, som beröras i motionerna, redan äro föremål för Kungl. Maj:ts pröfning och att således i dessa delar alldeles icke behöfs någon särskild skrifvelse. Lagutskottet har vidare tagit upp till granskning flere af förslagen och på anförda skäl ansett, att icke heller i dessa delar något borde åtgöras. Men sedan har lagutskottet slutat med detta skrifvelseförslag, som nu blifvit uppläst. Hvad angår, att man skulle utsträcka den i 8 31 mom. 2 af fattigvårdsförordningen upptagna grundsatsen, enligt hvilken</w:t>
        <w:br/>
        <w:br/>
        <w:t>kommunen skulle i hvarje fall få ersättning af statsmedel, när fattighjon oafbrutet varit borta från kommunen i 5 år, så har jag ej vidare betänkligheter däremot. Vidare har föreslagits, att man skulle taga i öfvervägande att få föreskrifter om bättre öfvervakande af fattigvården och att fattigvårdsstyrelserna icke skola få ställa till auktioner. Detta har ju många gånger varit på tal, och jag vill visst icke motsätta mig vare sig det ena eller andra.</w:t>
        <w:br/>
        <w:br/>
        <w:t>Men så förekomma här två saker i denna hemställan, som jag anser vara ganska betänkliga. Det första är — såsom herrarne se af betänkandet — ett förslag, att Kungl. Maj:t skulle utarbeta och för Riksdagen framlägga ett förslag till förändrade bestämmelser angående hemortsrätt i fråga om fattigvård. Nu vet jag ej huru pass många hemortsrättsfrågor, som lagutskottets ledamöter hvar för sig eller alla tillsammans behandlat, men för min del har jag under loppet af 25 år handlagt — jag tror icke att jag säger för mycket — omkring 50 sådana frågor för hvart år, hvilket tillsammans gör ungefär 1250. Af den erfarenhet, som</w:t>
        <w:br/>
        <w:br/>
        <w:t>jag därigenom kunnat inhämta, har jag icke kunnat draga den</w:t>
        <w:br/>
        <w:br/>
        <w:t>slutsats, att de nu gällande bestämmelserna om hemortsrätt, sådana de blifvit fullständigade genom 1894 års förordning, äro af beskaffenhet att böra ogillas. Jag tror icke, att vi kunna få några bättre, och i hvarje fall hafva åtminstone dessa bestämmelser den stora förtjänsten, att myndigheterna, d. v. s. länsstyrelserna, öfverståthållareämbetet och kammarrätten, nu äro fullt förtrogna med den och att det finns en mängd prejudikat till ledning för deras vederbörliga tillämpning. Det lider intet tvifvel, att dessa utredningar om hemortsrätt äro mycket besvärliga. Jag har en ofantligt rik erfarenhet om detta, men jag är fullt öfvertygad, att om man skulle få andra bestämmelser, som skulle hvila på grundsatsen om vistelse inom kommunen under visst antal år, 2 år eller 5 år, såsom det lär vara i Danmark, så skulle detta medföra mycket stort besvär. Det förstår ju hvar och en, att om en person har vistats inom en kommun vid tiden för mantalsskrifningen, så har man att genom vittnesförhör, som man mycket ofta får anlita, söka utröna, huruvida han varit bosatt där under sådana omständigheter att han då hade bort mantalsskrifvas där, och då kan det ej hjälpas, då har han förvärfvat hemortsrätt, såvida han ej under näst följande år blifvit föremål för fattigvård. Skulle man nu stadga, att en person skall hafva varit bosatt inom kommunen oafbrutet i 2 år exempelvis — för att taga det minsta — så skulle dessa undersökningar och vittnesförhör åsyfta att utreda, huruvida han oafbrutet vistats där så länge. I fråga om bofasta och ordentliga personer inom en kommun vållar frågan om hemortsrätten icke något besvär, utan då kunna bestämmelserna därom vara lika bra på det ena och det andra sättet. Men i fråga om sådana personer, som vandra omkring</w:t>
        <w:br/>
        <w:br/>
        <w:t xml:space="preserve">och kanske icke uppehålla sig mer än en eller annan månad inom en kommun, blir det förenadt med mycket stora svårigheter att afgöra, om de uppehållit sig därstädes oafbrutet under längre tid. Jag skall tala om ett mycket drastiskt exempel, af hvilket man kan draga sina slutsatser. En ogift </w:t>
      </w:r>
      <w:r>
        <w:rPr>
          <w:b/>
        </w:rPr>
        <w:t>kvinna¹</w:t>
      </w:r>
      <w:r>
        <w:rPr>
          <w:b w:val="0"/>
        </w:rPr>
        <w:t xml:space="preserve">, som jag tror hade två barn, blef på hösten ett år antagen till amma inom en liten kommun i Skaraborgs län. </w:t>
      </w:r>
      <w:r>
        <w:rPr>
          <w:b/>
        </w:rPr>
        <w:t>Kvinnan¹</w:t>
      </w:r>
      <w:r>
        <w:rPr>
          <w:b w:val="0"/>
        </w:rPr>
        <w:t xml:space="preserve">, som redan under nästföljande år lämnade sin anställning som amma, blef därefter föremål för fattigvård. </w:t>
      </w:r>
      <w:r>
        <w:rPr>
          <w:b/>
        </w:rPr>
        <w:t>Hon²</w:t>
      </w:r>
      <w:r>
        <w:rPr>
          <w:b w:val="0"/>
        </w:rPr>
        <w:t xml:space="preserve"> hade då, tror jag, fått ännu ett oäkta barn. Fråga uppstod då, hvar </w:t>
      </w:r>
      <w:r>
        <w:rPr>
          <w:b/>
        </w:rPr>
        <w:t>hon²</w:t>
      </w:r>
      <w:r>
        <w:rPr>
          <w:b w:val="0"/>
        </w:rPr>
        <w:t xml:space="preserve"> skulle anses hafva hemortsrätt. Det gällde en jämförelsevis högst betydlig summa. Jag ansåg mig i utslaget kunna förklara, att </w:t>
      </w:r>
      <w:r>
        <w:rPr>
          <w:b/>
        </w:rPr>
        <w:t>hon²</w:t>
      </w:r>
      <w:r>
        <w:rPr>
          <w:b w:val="0"/>
        </w:rPr>
        <w:t xml:space="preserve"> icke hade vistats inom den lilla kommunen under sådana omständigheter, att </w:t>
      </w:r>
      <w:r>
        <w:rPr>
          <w:b/>
        </w:rPr>
        <w:t>hon²</w:t>
      </w:r>
      <w:r>
        <w:rPr>
          <w:b w:val="0"/>
        </w:rPr>
        <w:t xml:space="preserve"> bort där mantalsskrifvas, då, som vi veta, en amma i allmänhet icke tager städja, utan får lön för månad. Utslaget blef öfverklagadt, och kammarrätten förklarade, att </w:t>
      </w:r>
      <w:r>
        <w:rPr>
          <w:b/>
        </w:rPr>
        <w:t>hon²</w:t>
      </w:r>
      <w:r>
        <w:rPr>
          <w:b w:val="0"/>
        </w:rPr>
        <w:t xml:space="preserve"> bort mantalsskrifvas inom kommunen i fråga och sålunda där ägde hemortsrätt. Häröfver uppstod mycket bekymmer och bedröfvelse inom kommunen, och deputerade från densamma kommo och rådfrågade mig, hvad de skulle göra, då socknen blef alldeles öfver höfvan betungad. Jag kunde naturligtvis icke anvisa dem något medel, då man som bekant icke får klaga öfver kammarrättens utslag i dessa frågor. Jag vill visst icke påstå, att kammarrättens utslag ej var riktigt, då ju där möjligen kunde tillkommit ytterligare bevisning. Detta exempel kunde nu synas tala för att de nuvarande bestämmelserna icke äro lämpliga. Men tro herrarna, att om det i detta fall kunnat bevisas, att </w:t>
      </w:r>
      <w:r>
        <w:rPr>
          <w:b/>
        </w:rPr>
        <w:t>kvinnan¹</w:t>
      </w:r>
      <w:r>
        <w:rPr>
          <w:b w:val="0"/>
        </w:rPr>
        <w:t xml:space="preserve"> under två års tid tillfälligtvis varit inhyst någonstädes i en kommun och där fört ett osedligt lif och fått flera oäkta barn, tro herrarna, säger jag, att det då varit behagligare för den kommunen att få </w:t>
      </w:r>
      <w:r>
        <w:rPr>
          <w:b/>
        </w:rPr>
        <w:t>henne²</w:t>
      </w:r>
      <w:r>
        <w:rPr>
          <w:b w:val="0"/>
        </w:rPr>
        <w:t xml:space="preserve"> sig påbördad och få betala de stora kostnader för </w:t>
      </w:r>
      <w:r>
        <w:rPr>
          <w:b/>
        </w:rPr>
        <w:t>hennes²</w:t>
      </w:r>
      <w:r>
        <w:rPr>
          <w:b w:val="0"/>
        </w:rPr>
        <w:t xml:space="preserve"> fattigvård, hvarom här var fråga? Jag tror, att det varit minst lika orättvist och hårdt i det fallet, som det är med nuvarande bestämmelser, enligt hvilka en person kan förvärfva hemortsrätt 1 en kommun genom att vistas där på hösten under sådana förhållanden, att han bör där mantalsskrifvas. Det kan ju nu naturligtvis hända, att en kommun får på sig en sådan där fattig, som den sedan måste draga försorg om, innan han hinner förvärfva hemortsrätt på annat ställe. Men det kan å andra sidan hända, att ett motsatt förhållande en annan gång inträffar, så att en kommun blir befriad från en person, som annars hade kommit att betunga kommunen. Att nu inlåta sig på att helt kategoriskt begära förslag till ändrade bestämmelser om hemortsrätten, kan jag för min del icke vara med om, utan jag tror, att det för närvarande är så bra som det kan blifva.</w:t>
        <w:br/>
        <w:br/>
        <w:t>Hvad vidare angår de ifrågasatta föreskrifterna i syfte, att fattigvårdssamhälle skulle berättigas till godtgörelse af staten för</w:t>
        <w:br/>
        <w:br/>
        <w:t>kostnader i anledning af fattigvård åt sinnesslöa personer och fallandesjuka och med dylika personer jämförliga, så skall jag tillåta mig att erinra herrarna om, att det vid fjolårets riksdag i Andra Kammaren väcktes en motion om utredning af frågan om utjämning af fattigvårdsafgifterna mellan kommunerna. Andra Kammarens tillfälliga utskott granskade noga motionen och ansåg den i många delar icke kunna förordas till bifall, men framhöll i motiveringen den tanken, att staten skulle betala kostnaden för fattigvård för dessa abnorma personer. Utskottet föreslog en skrifvelse, hvilken af Andra Kammaren bifölls. Sedan kom frågan till ett af Första Kammarens tillfälliga utskott, där jag då var ordförande. Detta utskott fäste kammarens uppmärksamhet på att det alldeles icke är sagdt och visst, att sådana abnorma personer förekomma allenast i sådana kommuner, som äro betungade af större utskylder, och det finnes ju intet skäl, hvarför en väl situerad kommun skulle befrias från skyldigheten att betala i ett sådant fall. Utskottet framhöll också — hvad värre är — att om man skulle stadga, att staten skulle betala för sådana abnorma, som stode i sådan ställning, att de vore berättigade till obligatorisk fattigvård, det skulle kännas mycket hårdt för mindre bemedlade inom kommunen att själfva bli betungade af kostnader för vården af abnorma familjemedlemmar. Första Kammarens tillfälliga utskott gjorde emellertid en antydan om ett annat medel för att åstadkomma en utjämning och föreslog, då saken ansågs vara af stor vikt, verkligen en skrifvelse, men Första Kammaren afslog helt och hållet detta förslag, 'och därmed får väl också Första Kammaren anses hafva ställt sig afvisande mot attstaten skulle i detta fall träda emellan.</w:t>
        <w:br/>
        <w:br/>
        <w:t>Jag skall således tillåta mig hemställa, att ur skrifvelseförslaget måtte utgå den del, som angår hemortsrätten, d. v. s. från och med orden »dels ändrade bestämmelser beträffande hemortsrätt» till och med orden »om ersättning för lämnad fattigvård, och dels», äfvensom att ur förslaget måtte uteslutas följande punkt: »att fattigvårdssamhälle berättigas till godtgörelse af staten för kostnader i anledning af fattigvård åt sinnesslöe personer och fallandesjuke och med dylika personer jämförlige». I öfrigt vill jag icke motsätta mig bifall till utskottets förslag.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55</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