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65</w:t>
      </w:r>
    </w:p>
    <w:p>
      <w:r>
        <w:rPr>
          <w:b/>
        </w:rPr>
        <w:t xml:space="preserve">Datum: </w:t>
      </w:r>
      <w:r>
        <w:t>1906-04-06</w:t>
      </w:r>
    </w:p>
    <w:p>
      <w:r>
        <w:rPr>
          <w:b/>
        </w:rPr>
        <w:t xml:space="preserve">Kammare: </w:t>
      </w:r>
      <w:r>
        <w:t>Första kammaren</w:t>
      </w:r>
    </w:p>
    <w:p>
      <w:r>
        <w:rPr>
          <w:b/>
        </w:rPr>
        <w:t xml:space="preserve">Antal yttranden: </w:t>
      </w:r>
      <w:r>
        <w:t>3</w:t>
      </w:r>
    </w:p>
    <w:p>
      <w:r>
        <w:rPr>
          <w:b/>
        </w:rPr>
        <w:t xml:space="preserve">Källa: </w:t>
      </w:r>
      <w:r>
        <w:t>Tal om Kvinnor: Annotated Corpus (doi:10.5281/zenodo.18211787), byggd på The Swedish Parliament Corpus (Yrjänäinen m.fl. 2024).</w:t>
      </w:r>
    </w:p>
    <w:p>
      <w:r>
        <w:rPr>
          <w:i/>
        </w:rPr>
        <w:t>Markerade ord: ¹ kvinna-ord, ² släktskaps- och tilltalsord, ³ yrkestitlar.</w:t>
      </w:r>
    </w:p>
    <w:p>
      <w:pPr>
        <w:pStyle w:val="Heading2"/>
      </w:pPr>
      <w:r>
        <w:t>1. Fridtjuv Berg (–, man)</w:t>
      </w:r>
    </w:p>
    <w:p>
      <w:r>
        <w:rPr>
          <w:b w:val="0"/>
        </w:rPr>
        <w:t>Jag anhåller på förhand om kammarens öfverseende, om den något invecklade beskaffenheten af detta memorial gör det nödvändigt för mig att taga kammarens tid i anspråk en längre stund, än jag skulle önskat.</w:t>
        <w:br/>
        <w:br/>
        <w:t>Den kungliga kungörelse, som utskottet här anmäler, innehåller två nya moment af folkskolestadgan, hvilka finnas återgifna i memorialet på sidorna 8 och 9. I det ena momentet föreskrifves, att då skolrådet behandlar folkskoleärenden, äger en folkskollärare vara tillstädes med rätt att deltaga i öfverläggningarna, men utan rätt att deltaga i besluten. Det andra momentet innehåller, att en småskollärare skall under vissa förhållanden kunna få en fastare anställning än förut.</w:t>
        <w:br/>
        <w:br/>
        <w:t>Hvad förstnämnda moment angår förklarar utskottet nederst på sidan 13, att det »på det närmaste berör frågan om skolrådets sammansättning och verksamhet», och utskottet finner det på denna grund anmärkningsvärdt, att detsamma blifvit på administrativ väg utfärdadt.</w:t>
        <w:br/>
        <w:br/>
        <w:t>Här har utskottet på ett högst förvillande sätt hopkopplat två skilda frågor, nämligen frågorna om skolrådets sammansättning och om dess verksamhet.</w:t>
        <w:br/>
        <w:br/>
        <w:t>Hade stadgandet berört skolrådets sammansättning, så hade det naturligtvis förelagts Riksdagen och efter Riksdagens samtycke införts i kyrkostämmoförordningen. Berör det åter endast skolrådets verksamhet, har det sin rätta plats i folkskolestadgan, som är af administrativ natur. Kyrkostämmoförordningen hänvisar rörande dylika ärenden direkt till folkskolestadgan, då den i &amp; 30 föreskrifver, att vid behandling af de ärenden angående folkskoleundervisningen, hvilka det tillkommer skolrådet att handlägga, de stadgar skola lända till efterrättelse, som rörande denna undervisning gifna äro.</w:t>
        <w:br/>
        <w:br/>
        <w:t>Frågan blir då: rör det nya stadgandet skolrådets sammansättning eller skolrådets verksamhet? Svaret kan ej blifva mer än ett. Det rör endast skolrådets verksamhet. Enligt kyrkostämmoförordningens $&amp; 23 är skolrådet sammansatt af en själfskrifven ordförande, minst fyra andra ledamöter och hälften så många suppleanter. Häri är ingen ändring gjord.</w:t>
        <w:br/>
        <w:br/>
        <w:t>Önskningar, att så måtte ske, hafva visserligen icke saknats.</w:t>
        <w:br/>
        <w:br/>
        <w:t>I den petition från Göteborgs stifts andra folkskolläraremöte, som i memorialet refereras på sidan 12, yrkas,</w:t>
        <w:br/>
        <w:br/>
        <w:t xml:space="preserve">att i kommuner, hvarest flera lärare och </w:t>
      </w:r>
      <w:r>
        <w:rPr>
          <w:b/>
        </w:rPr>
        <w:t>lärarinnor³</w:t>
      </w:r>
      <w:r>
        <w:rPr>
          <w:b w:val="0"/>
        </w:rPr>
        <w:t xml:space="preserve"> vore vid folkskolan anställda, dessa måtte blifva berättigade att inom sig utse en lärare och en </w:t>
      </w:r>
      <w:r>
        <w:rPr>
          <w:b/>
        </w:rPr>
        <w:t>lärarinna³</w:t>
      </w:r>
      <w:r>
        <w:rPr>
          <w:b w:val="0"/>
        </w:rPr>
        <w:t>, hvilka skulle erhålla säte och stämma 1 skolrådet.</w:t>
        <w:br/>
        <w:br/>
        <w:t>Bland de myndigheter, som yttrat sig öfver denna petition, hafva ock flera domkapitel ansett, att en representant för lärarekåren borde hafva säte och stämma i skolrådet med rätt för representanten att deltaga i skolrådets såväl öfverläggningar som beslut.</w:t>
        <w:br/>
        <w:br/>
        <w:t>Hade jag delat denna mening, så hade jag gifvetvis tillstyrkt proposition till Riksdagen med förslag om erforderlig ändring at kyrkostämmoförordningen. Då jag icke så gjort, är orsaken att finna däri, att jag principiellt icke vill veta af nya själfskrifna ledamöter i skolrådet. Då jag önskat, att lärarekåren måtte blifva representerad vid skolrådets öfverläggningar, har syftet ingalunda varit, att den skulle erhålla större makt och myndighet. Att fika efter sådant är efter min mening sämsta sättet att få det. Meningen har varit att få skolrådets verksamhet så ordnad, att vid folkskoleärendens behandling skolrådet skulle hafva tillfälle till och känna sig uppfordradt att vid sidan af mycket annat taga hänsyn till äfven det slags insikter i skolarbetet, som vinnas genom utbildning därför och dagligt sysslande därmed. Men för vinnande af detta önskemål behöfves intet själfskrifvet ledamotskap; det behöfves endast, att en folkskoleman får vara tillstädes och deltaga i öfverläggningarna. Han blir därigenom tillräckligt meddelaktig i behandlingen, för att den förtroendefulla samverkan mellan skolråd och lärarekår skall kunna uppkomma, som är så nödvändig för skolarbetets framgång.</w:t>
        <w:br/>
        <w:br/>
        <w:t>Att här ej alls varit fråga om skolrådets sammansättning, framgår för öfrigt af de i förordningen inskjutna orden: »förutom den eller dem, som till äfvertyrs må vara valda till ledamöter i skolrådet&gt;. Ledamöterna i skolrådet ställas härigenom i så tydlig motsats till lärarerepresentanten vid skolrådets sammanträden, att ingen förväxling bort vara möjlig.</w:t>
        <w:br/>
        <w:br/>
        <w:t>Samma inskjutna ord hafva dessutom missförståtts af utskottet — på ett mycket egendomligt sätt. Dessa ord &gt;komma»&gt;, påstår utskottet, »otvifvelaktigt i flere fall att gifva anledning till den uppfattning, att Kungl. Maj:t velat utan Riksdagens medverkan afgifva förklaring öfver kyrkostämmoförordningens föreskrifter angående valbarhet till skolråd». Utskottet förbiser här två saker. Först och främst att de klandrade orden alls icke vilja vara någon lagförklaring, utan endast ett objektivt uttryck för det af Kungl. Maj:t och hvar man kända faktum, att en mängd lärare äro af kyrkostämmor utsedde till ledamöter af skol-</w:t>
        <w:br/>
        <w:br/>
        <w:t>rådet. För det andra: att Kungl. Maj:t redan för 16 år sedan genom utslag i besvärsmål tolkat kyrkostämmoförordningens bestämmelser så, att intet hinder möter för den kyrkostämma, som så önskar, att insätta folkskollärare som ledamöter i skolrådet.</w:t>
        <w:br/>
        <w:br/>
        <w:t>Genom hvad jag nu anfört, har jag sökt visa, att det nya moment, som insatts i &amp; 8 folkskolestadgan, har sin rätta plats just i denna administrativa stadga och icke i minsta mån går kyrkostämmoförordningens föreskrifter om skolråds sammansättning för nära.</w:t>
        <w:br/>
        <w:br/>
        <w:t>Jag ber nu att få öfvergå till det nya momentet i folkskolestadgans &amp; 33, hvilket afser att bereda medlemmarna af småskollärarekåren en något mera tryggad rättslig ställning än de förut haft. Mot detta moment gör utskottet en hel mängd anmärkningar, hvilka dels röra formuleringen, dels vissa delar af innehållet och dels stadgandet i dess helhet.</w:t>
        <w:br/>
        <w:br/>
        <w:t>Tvad de formella anmärkningarna angår, har utskottet satt dem både först och sist, och torde det därför vara lämpligt att taga dem först i skärskådande. De äro, såvidt jag kunnat räkna, till antalet fyra.</w:t>
        <w:br/>
        <w:br/>
        <w:t>1. Man kan, säger utskottet nederst på sidan 15, icke af stadgandets formulering sluta till, »huruvida den fastare anställningen skall vinnas först efter fem års sammanlagd tjänstgöring antingen såsom biträdande lärare vid småskola eller mindre folkskola eller ock huruvida ifrågavarande förmån skall för honom inträda, om han exempelvis under viss del af de fem åren tjänstgjort i småskola och äterstoden i folkskola».</w:t>
        <w:br/>
        <w:br/>
        <w:t xml:space="preserve">Genom skriffel eller tryckfel eller hvad det nu kan vara har denna utskottets anmärkning råkat att blifva alldeles felaktigt formulerad. Utskottet nämner två slag af lärare, som kallas » biträdande lärare vid småskola» och »biträdande lärare vid mindre folkskola». Dessa båda slag äro för våra folkskoleförfattningar fullkomligt okända. Däremot hafva vi »lärare vid småskola» och »lärare vid mindre folkskola» och dessutom ett tredje slag, som utskottet icke talar om, nämligen »biträdande lärare vid folkskola». Alla tre slagen uppräknas i 8 23 af gällande folkskolestadga och de utgöra tillsammans den stora kategori af mestadels </w:t>
      </w:r>
      <w:r>
        <w:rPr>
          <w:b/>
        </w:rPr>
        <w:t>kvinnliga¹</w:t>
      </w:r>
      <w:r>
        <w:rPr>
          <w:b w:val="0"/>
        </w:rPr>
        <w:t xml:space="preserve"> lärare, som med ett ord kallas småskolelärarekåren, eller kanske oftare småskolelärarinnekåren, och som kännetecknas af samma utbildning, samma kompetensfordringar, samma löneförmåner och samma rättsliga ställning. Huruvida en medlem af denna stora kategori af hufvudsakligen </w:t>
      </w:r>
      <w:r>
        <w:rPr>
          <w:b/>
        </w:rPr>
        <w:t>kvinnliga¹</w:t>
      </w:r>
      <w:r>
        <w:rPr>
          <w:b w:val="0"/>
        </w:rPr>
        <w:t xml:space="preserve"> lärare vid en viss tidpunkt tjänstgör såsom »småskolelärare», »lärare vid mindre folkskola» eller »biträdande lärare vid folkskola», det är något, som i afseende å hans ställning till kommunen och kommunens ställning till honom är alldeles betydelselöst. Den nya stadgan har därför ej velat göra någon skillnad på, huruvida en denna kår tillhörande person tjänstgjort enbart såsom »småskolelärare»</w:t>
        <w:br/>
        <w:br/>
        <w:t>eller »lärare vid mindre folkskola» eller »biträdande lärare vid Anmärkning folkskola», eller om han tjänstgjort någon tid i den ena, någon mot statsråd. tid i den andra och någon tid i den tredje egenskapen. Stadgan- (Forts.) dets formulering angifver också tydligt, att det afser all sådan tjänstgöring, som nämnes i &amp; 23. Utskottets försäkran om mot-</w:t>
        <w:br/>
        <w:br/>
        <w:t>satsen är felaktig.</w:t>
        <w:br/>
        <w:br/>
        <w:t>2. Utskottet säger öfverst på sidan 16: »Likaledes lämnas man i fullständig ovisshet om, huruvida tjänstgöringen skall hafva ägt rum i sammanlagd följd eller kan hafva fullgjorts med längre eller kortare afbrott.»</w:t>
        <w:br/>
        <w:br/>
        <w:t>Denna anmärkning är ogrundad. BSåsom villkor för fastare anställning fordrar stadgandet blott tjänstgöring afifrågavarande art i &gt;»sammanlagdt fem år». Något undantag för sådan tjänstgöring, som fullgjorts med längre eller kortare afbrott, är icke gjordt, och det är följaktligen klart, att dylika afbrott icke inverka, hvilket också skulle i sakligt afsende varit särdeles olämpligt.</w:t>
        <w:br/>
        <w:br/>
        <w:t>3. »En annan oklarhet i stadgandet finner utskottet ligga däruti, att bestämmelse saknas, huruvida läraren äger att tillgodoräkna sig den tid han tjänstgjort före examens afläggande.»</w:t>
        <w:br/>
        <w:br/>
        <w:t>Äfven denna anmärkning synes mig konstruerad. I stadgandet står, att om vederbörligen examtnerad lärare tjänstgjort på det och det sättet, må en sådan lärare entledigas endast af i stadgandet nämnda orsaker. Härigenom torde det vara tillräckligt tydligt sagdt ifrån, att det är endast för tjänstgöring såsom vederbörligen examinerad som en lärare kan tillgodoräkna sig den erforderliga tiden.</w:t>
        <w:br/>
        <w:br/>
        <w:t>4. »Tvekan torde också», säger utskottet, »kunna komma att uppstå, huruvida vid dylik lärares entledigande af orsaker, som omförmälas i 8 32 folkskolestadgan, jämväl det i samma 8 föreskrifna tillvägagångssätt måste iakttagas.»</w:t>
        <w:br/>
        <w:br/>
        <w:t xml:space="preserve">För denna anmärkning finnes intet fog. Stadgandet föreskrifver, att en </w:t>
      </w:r>
      <w:r>
        <w:rPr>
          <w:b/>
        </w:rPr>
        <w:t>småskolelärarinna³</w:t>
      </w:r>
      <w:r>
        <w:rPr>
          <w:b w:val="0"/>
        </w:rPr>
        <w:t xml:space="preserve"> under vissa omständigheter och med vissa undantag må entledigas endast af sådana orsaker, som omförmälas i &amp; 32, nämligen om </w:t>
      </w:r>
      <w:r>
        <w:rPr>
          <w:b/>
        </w:rPr>
        <w:t>hon²</w:t>
      </w:r>
      <w:r>
        <w:rPr>
          <w:b w:val="0"/>
        </w:rPr>
        <w:t xml:space="preserve"> befunnits oskicklig till eller försumlig i förrättandet af sin tjänst eller ådagalagt dåligt uppförande. Däremot föreskrifves icke, att </w:t>
      </w:r>
      <w:r>
        <w:rPr>
          <w:b/>
        </w:rPr>
        <w:t>hon²</w:t>
      </w:r>
      <w:r>
        <w:rPr>
          <w:b w:val="0"/>
        </w:rPr>
        <w:t xml:space="preserve"> skall kunna skiljas från tjänsten endast med användande af det tillvägagångsätt, som omförmäles i &amp; 32, alltså blott »efter föregången, i skolrådets protokoll intagen, men fruktlös befunnen varning». Så länge ordet »orsaker» får betyda »orsaker» och ordet »tillvägagångssätt» får betyda »tillvägagångssätt&gt;, kan följaktligen ingen tvekan i detta fall råda.</w:t>
        <w:br/>
        <w:br/>
        <w:t>Efter granskning af dessa anmärkningar mot formuleringen vänder jag mig till utskottets anmärkningar mot vissa delar af innehållet. Afven de tyckas vara fyra.</w:t>
        <w:br/>
        <w:br/>
        <w:t>1. För den tjänstgöring, som under vissa förhållanden med vissa undantag berättigar till fastare anställning, säger utskottet</w:t>
        <w:br/>
        <w:br/>
        <w:t>i tredje stycket på sidan 15, har »icke ens uppställts fordran på oförvitlighet».</w:t>
        <w:br/>
        <w:br/>
        <w:t xml:space="preserve">Utskottet förbiser, att om man skulle hafva uppställt en dylik fordran, skulle detta hafva varit en själfmotsägelse. Att hafva tjänstgjort »oförvitligt&gt; betyder nämligen i folkskolestadgan att icke hafva blifvit enligt 8 32 varnad. Det har alltså tillämpning på folkskolelärarekåren, men icke på småskolelärarekåren, för hvilken intet lagstadgande om varning finnes. Fattas åter ordet »oförvitligt&gt; i den bemärkelsen, att </w:t>
      </w:r>
      <w:r>
        <w:rPr>
          <w:b/>
        </w:rPr>
        <w:t>lärarinnan³</w:t>
      </w:r>
      <w:r>
        <w:rPr>
          <w:b w:val="0"/>
        </w:rPr>
        <w:t xml:space="preserve"> icke gjort sig skyldig till oskicklighet, försumlighet eller dåligt uppförande, så är att märka, att en </w:t>
      </w:r>
      <w:r>
        <w:rPr>
          <w:b/>
        </w:rPr>
        <w:t>lärarinna³</w:t>
      </w:r>
      <w:r>
        <w:rPr>
          <w:b w:val="0"/>
        </w:rPr>
        <w:t xml:space="preserve">, som före denna kungörelses utfärdande icke varit »oförvitlig» i den meningen, kunnat när som helst entledigas, samt att </w:t>
      </w:r>
      <w:r>
        <w:rPr>
          <w:b/>
        </w:rPr>
        <w:t>hon²</w:t>
      </w:r>
      <w:r>
        <w:rPr>
          <w:b w:val="0"/>
        </w:rPr>
        <w:t xml:space="preserve"> äfven efter det nya stadgandet, om </w:t>
      </w:r>
      <w:r>
        <w:rPr>
          <w:b/>
        </w:rPr>
        <w:t>hon²</w:t>
      </w:r>
      <w:r>
        <w:rPr>
          <w:b w:val="0"/>
        </w:rPr>
        <w:t xml:space="preserve"> felar i nämnda stycke, när som helst kan entledigas. Ett inskjutande af ordet »oförvitlig&gt; skulle således dels i formellt hänseende varit felaktigt, dels i sakligt hänseende hvarken gjort till eller ifrån.</w:t>
        <w:br/>
        <w:br/>
        <w:t xml:space="preserve">2. Utskottet anmärker vidare — det är strax efteråt på samma sida — att en </w:t>
      </w:r>
      <w:r>
        <w:rPr>
          <w:b/>
        </w:rPr>
        <w:t>småskolelärarinna³</w:t>
      </w:r>
      <w:r>
        <w:rPr>
          <w:b w:val="0"/>
        </w:rPr>
        <w:t>, »som tjänstgjort sammanlagdt fem år inom flera olika skoldistrikt och måhända ganska kort tid å hvarje ställe, kommer i åtnjutande af enahanda förmån som den, hvilken under hela tiden tjänstgjort på en och samma befattning och därvid tillvunnit sig vederbörande församlingars förtroende.»</w:t>
        <w:br/>
        <w:br/>
        <w:t xml:space="preserve">Ja — hvad skulle hafva inträffat, om motsatsen blifvit stadgad? En </w:t>
      </w:r>
      <w:r>
        <w:rPr>
          <w:b/>
        </w:rPr>
        <w:t>småskolelärarinna³</w:t>
      </w:r>
      <w:r>
        <w:rPr>
          <w:b w:val="0"/>
        </w:rPr>
        <w:t xml:space="preserve"> skulle då hafva kunnat tjänstgöra t. ex. 4!/2 år på ett ställe. För att </w:t>
      </w:r>
      <w:r>
        <w:rPr>
          <w:b/>
        </w:rPr>
        <w:t>hon²</w:t>
      </w:r>
      <w:r>
        <w:rPr>
          <w:b w:val="0"/>
        </w:rPr>
        <w:t xml:space="preserve"> ej skulle blifva fast där, kunde man då hafva afskedat </w:t>
      </w:r>
      <w:r>
        <w:rPr>
          <w:b/>
        </w:rPr>
        <w:t>henne²</w:t>
      </w:r>
      <w:r>
        <w:rPr>
          <w:b w:val="0"/>
        </w:rPr>
        <w:t xml:space="preserve">. Sedan finge </w:t>
      </w:r>
      <w:r>
        <w:rPr>
          <w:b/>
        </w:rPr>
        <w:t>hon²</w:t>
      </w:r>
      <w:r>
        <w:rPr>
          <w:b w:val="0"/>
        </w:rPr>
        <w:t xml:space="preserve"> kanske tjänstgöra 41/2 år på ett annat ställe, och af samma skäl kunde </w:t>
      </w:r>
      <w:r>
        <w:rPr>
          <w:b/>
        </w:rPr>
        <w:t>hon²</w:t>
      </w:r>
      <w:r>
        <w:rPr>
          <w:b w:val="0"/>
        </w:rPr>
        <w:t xml:space="preserve"> sedan äfven där afskedas. På sådant sätt skulle stadgandet. kunnat kringgås i oändlighet, och i stället för att bereda </w:t>
      </w:r>
      <w:r>
        <w:rPr>
          <w:b/>
        </w:rPr>
        <w:t>småskolelärarinnorna³</w:t>
      </w:r>
      <w:r>
        <w:rPr>
          <w:b w:val="0"/>
        </w:rPr>
        <w:t xml:space="preserve"> större trygghet, skulle det endast hafva ökat deras otrygghet.</w:t>
        <w:br/>
        <w:br/>
        <w:t xml:space="preserve">3. »Utskottet vill framhålla», yttrar det på sidan 16, andra stycket från slutet, »att hvarje anledning saknats att, på sätt som skett, utesluta de gifta lärarne från förmånen att vinna den fastare anställning, som man funnit skäl medgifva de ogifta lärarne och </w:t>
      </w:r>
      <w:r>
        <w:rPr>
          <w:b/>
        </w:rPr>
        <w:t>lärarinnorna³</w:t>
      </w:r>
      <w:r>
        <w:rPr>
          <w:b w:val="0"/>
        </w:rPr>
        <w:t>.»</w:t>
        <w:br/>
        <w:br/>
        <w:t>Det medges gärna, att man i detta stycke kan hysa olika meningar. Men då utskottet påstår, att »hvarje anledning» saknats för den af Kungl. Maj:t gifna föreskriften, säger det för mycket.</w:t>
        <w:br/>
        <w:br/>
        <w:t xml:space="preserve">Goda skäl kunna gifvas för den åsikten, att en </w:t>
      </w:r>
      <w:r>
        <w:rPr>
          <w:b/>
        </w:rPr>
        <w:t>småskolelärarinna³</w:t>
      </w:r>
      <w:r>
        <w:rPr>
          <w:b w:val="0"/>
        </w:rPr>
        <w:t xml:space="preserve"> icke borde förlora möjligheten till fastare anställning, därför att </w:t>
      </w:r>
      <w:r>
        <w:rPr>
          <w:b/>
        </w:rPr>
        <w:t>hon²</w:t>
      </w:r>
      <w:r>
        <w:rPr>
          <w:b w:val="0"/>
        </w:rPr>
        <w:t xml:space="preserve"> träder i gifte. En mängd af de i ärendet hörda myndigheterna, folkskoleinspektörer, länsstyrelser och domkapitel, hafva emellertid varit af motsatt åsikt. Helt visst har den egentliga anledningen härtill varit den, att, om en </w:t>
      </w:r>
      <w:r>
        <w:rPr>
          <w:b/>
        </w:rPr>
        <w:t>småskolelärarinna³</w:t>
      </w:r>
      <w:r>
        <w:rPr>
          <w:b w:val="0"/>
        </w:rPr>
        <w:t xml:space="preserve"> gifter</w:t>
        <w:br/>
        <w:br/>
        <w:t xml:space="preserve">sig, skolan kan få att göra icke blott med </w:t>
      </w:r>
      <w:r>
        <w:rPr>
          <w:b/>
        </w:rPr>
        <w:t>henne²</w:t>
      </w:r>
      <w:r>
        <w:rPr>
          <w:b w:val="0"/>
        </w:rPr>
        <w:t xml:space="preserve">, utan äfven med Anmärkning </w:t>
      </w:r>
      <w:r>
        <w:rPr>
          <w:b/>
        </w:rPr>
        <w:t>hennes²</w:t>
      </w:r>
      <w:r>
        <w:rPr>
          <w:b w:val="0"/>
        </w:rPr>
        <w:t xml:space="preserve"> man, hvilket måhända någon gång kan vara svårt nog. mot statsråd. Kungl. Maj:t bar tagit hänsyn till dessa myndigheters uppfattning, (Forts.) och vid beredandet af en fastare anställning för småskolelärare-</w:t>
        <w:br/>
        <w:br/>
        <w:t>kåren har därför undantag gjorts för de medlemmar af denna</w:t>
        <w:br/>
        <w:br/>
        <w:t>kår, som träda i gifte. Nu skulle man visserligen kunnat göra</w:t>
        <w:br/>
        <w:br/>
        <w:t>undantag från detta undantag till förmån för de ytterst få man-</w:t>
        <w:br/>
        <w:br/>
        <w:t>liga gifta folkskolelärarne. Men vid närmare eftertanke har man</w:t>
        <w:br/>
        <w:br/>
        <w:t>funnit sig sakna anledning att göra ett dylikt undantag från undantaget och därför här låtit likställighet råda.</w:t>
        <w:br/>
        <w:br/>
        <w:t xml:space="preserve">I själfva verket har denna sak en mycket ringa räckvidd. Af småskolelärarekårens samtliga medlemmar, vare sig de tjänstgöra vid småskola eller mindre folkskola eller som »biträdande» vid folkskola, äro mer än 95 2 </w:t>
      </w:r>
      <w:r>
        <w:rPr>
          <w:b/>
        </w:rPr>
        <w:t>kvinnor¹</w:t>
      </w:r>
      <w:r>
        <w:rPr>
          <w:b w:val="0"/>
        </w:rPr>
        <w:t xml:space="preserve"> och således mindre än 5 AZ män. Antalet manliga småskollärare minskas år från år, och snart nog står det på nollpunkten. Framför allt är antalet gifta manliga småskolelärare försvinnande litet — detta af den enkla anledningen, att gifta manliga småskolelärare numera icke torde kunna existera.</w:t>
        <w:br/>
        <w:br/>
        <w:t>4. Upprepade gånger i detta memorial påstår utskottet, att tillräcklig »försiktighet» icke blifvit visad vid sträfvandet att bereda småskolelärarekåren en tryggad existens.</w:t>
        <w:br/>
        <w:br/>
        <w:t>Möjligen skall detta innebära, att cirkuläret vid nämnda sträfvanden skulle gått för långt. Härvid är dock att märka, att kommunerna enligt detta cirkulär fortfarande äga rätt att entlediga de småskolelärare, som antagits på viss tid, de, som äro oexaminerade, de, som gifta sig, de, som äro berättigade till ålderdomsunderstöd, de, som tjänstgjort mindre än fem år, och de, som under sin tjänstgöring gjort sig skyldiga till oskicklighet, försummelse eller dåligt uppförande. Och icke ens de, som samtidigt förena kvalifikationerna att vara examinerade, antagna tills vidare, ogifta, icke berättigade till ålderdomsunderstöd och i allo oklanderliga, icke ens de kunna vara alldeles trygga. Afven de kunna enligt detta cirkulär entledigas, om deras tjänst indrages eller genom en i behörig ordning godkänd omorganisation af skolväsendet förändras till folkskoleläraretjänst. — Längre går icke detta cirkulär, hos hvilket utskottet funnit en så ringa grad af » försiktighet».</w:t>
        <w:br/>
        <w:br/>
        <w:t>Jag öfvergår nu till de anmärkningar, som röra stadgandet € dess helhet och som väl skola gå ut därpå, att det skulle vara lagstridigt eller olämpligt. Dessa allmänna anmärkningar äro två.</w:t>
        <w:br/>
        <w:br/>
        <w:t xml:space="preserve">1. Hvad den första af dem angår, har utskottet visserligen icke uttryckligen påstått, att stadgandet skulle vara lagstridigt, men det synes vilja antyda något sådant, då det på två ställen å sid. 15 uttalar såsom sin mening, att en småskollärarinnas anställning är grundad på ett mellan </w:t>
      </w:r>
      <w:r>
        <w:rPr>
          <w:b/>
        </w:rPr>
        <w:t>henne²</w:t>
      </w:r>
      <w:r>
        <w:rPr>
          <w:b w:val="0"/>
        </w:rPr>
        <w:t xml:space="preserve"> och vederbörande skolråd ingånget aftal, hvilket — som det heter — »afslutadt i</w:t>
        <w:br/>
        <w:br/>
        <w:t>Anmärkning enlighet med gifna föreskrifter icke kan utan båda kontrahenmot statsråd. ternas samtycke ändras eller upphäfvas».</w:t>
        <w:br/>
        <w:br/>
        <w:t>Hvad utskottet här yttrar om omöjligheten att utan båda kontrahenternas samtycke ändra ett i enlighet med gifna föreskrifter ingånget aftal må vara riktigt i fråga om privaträttsliga öfverenskommelser. På den offentliga rättens område däremot håller nog satsen icke i allo streck. Folkskoleundervisningen är visserligen af staten i väsentlig grad öfverlåten på kommunerna, men den har därmed icke upphört att till sin natur tillika vara en statsangelägenhet. Fasthåller man vid detta sakförhållande, måste man erkänna, att vederbörande slatsmakter -— i vissa fall Konungen och Riksdagen gemensamt, i andra fall Konungen ensam — kunna, om sådant pröfvas lämpligt ur det allmännas synpunkt, meddela bestämmelser, som leda till ändring i förfoganden, hvilka vidtagits af skoldistrikt eller skolråd. Jag vill anföra ett exempel. Ar 1891 var den obligatoriska begynnelselönen för folkskolelärare endast 600 kronor. Ett skoldistrikt kunde då träffa aftal med en skollärare om en begynnelselön å t. ex. 650 kronor. Men så kom 1891 års Riksdag och höjde den obligatoriska begynnelselönen till 700 kronor samt vållade därigenom kommunen en utgift af 50 kronor utöfver hvad som var aftaladt. Kan man nu med användande af utskottets resonemang säga, att Kungl. Maj:t och Riksdagen år 1891 gjorde ett ingrepp i ett aftal, som »icke kunde utan båda kontraheternas samtycke ändras ?» Då gällde det ett aftalsvillkor, nämligen lönen, nu ett annat, nämligen anställningens art, men principen är i båda fallen densamma. .</w:t>
        <w:br/>
        <w:br/>
        <w:t>2. Afven ur en annan synpunkt tyckes utskottet vilja betrakta stadgandet i dess helhet såsom obehörigt. »Den af Kungl. Maj:t utfärdade bestämmelsen», säger utskottet i andra stycket å sid. 15, »innebär emellertid icke blott ett ingrepp uti den församlingarna tillerkända rätten att på det för skolväsendet lämpligaste sätt och på de för församlingarna förmånligaste villkor anställa lärare, utan äfven ett underkännande af församlingarnas och deras lagstadgade organs förmåga att själfva bedöma, när anledning föreligger att gifva lärare vid småskolan den fastare anställning, hvarom i &amp; 24 mom. 3 förmäles.»</w:t>
        <w:br/>
        <w:br/>
        <w:t xml:space="preserve">Om detta är riktigt, så kan det också med fog sägas om vår förut gällande folkskolelagstiftning. Ursprungligen ägde församlingarna och deras lagstadgade organ rätt att anställa </w:t>
      </w:r>
      <w:r>
        <w:rPr>
          <w:b/>
        </w:rPr>
        <w:t>småskolelärarinnor³</w:t>
      </w:r>
      <w:r>
        <w:rPr>
          <w:b w:val="0"/>
        </w:rPr>
        <w:t xml:space="preserve"> på hvilka villkor som helst. Genom 1882 års folkskolestadga gåfvos dock angående sättet för anställandet vissa normer, och genom 1897 års folkskolestadga gåfvos ännu andra sådana normer. Enligt min mening får detta icke fattas såsom ett underkännande af skolrådets omdömesförmåga i allmänhet. Det innebär helt enkelt ett erkännande, att äfven bland skolråden kunna finnas sådana, som understundom göra sig skyldiga till</w:t>
        <w:br/>
        <w:br/>
        <w:t xml:space="preserve">misstag eller missbruk. Bekant torde sålunda vara, att dugliga och plikttrogna </w:t>
      </w:r>
      <w:r>
        <w:rPr>
          <w:b/>
        </w:rPr>
        <w:t>småskolelärarinnor³</w:t>
      </w:r>
      <w:r>
        <w:rPr>
          <w:b w:val="0"/>
        </w:rPr>
        <w:t xml:space="preserve"> blifvit afskedade endast därför, att de bevistat ett nykterhetsföredrag eller en frireligiös sammankomst. Atskilliga sådana fall, af hvilka några varit ganska upprörande, hafva förekommit, och jag tror, att man gör orätt, om man bagatelliserar dessa fall. Må hvar och en, som själf äger existensmedel, på hvilka han kan lita, ett större eller mindre kapital, en större eller mindre egendom, en mer eller mindre inbringande tjänst, må, säger jag, enhvar, som äger något sådant, söka tänka sig in i de människors ställning, som ha utbildat sig för en viss verksamhet och ägnat sitt lif däråt, men sväfva i fara att när som helst, utan angifvande af någon orsak, blifva uppsagda för att kanske om 4 månader kastas på bar backe. Kunna de tänka sig in häri, så skola de också, om än mycket svagt, kunna föreställa sig, hvilket ogynnsamt inflytande den ständiga otryggheten måste utöfva på </w:t>
      </w:r>
      <w:r>
        <w:rPr>
          <w:b/>
        </w:rPr>
        <w:t>småskolelärarinnornas³</w:t>
      </w:r>
      <w:r>
        <w:rPr>
          <w:b w:val="0"/>
        </w:rPr>
        <w:t xml:space="preserve"> hela sinnesförfattning och deras däraf beroende arbete. De skola då också, tror jag, kunna förstå, att för dessa </w:t>
      </w:r>
      <w:r>
        <w:rPr>
          <w:b/>
        </w:rPr>
        <w:t>lärarinnor³</w:t>
      </w:r>
      <w:r>
        <w:rPr>
          <w:b w:val="0"/>
        </w:rPr>
        <w:t xml:space="preserve"> var kungörelsen af den 17 november 1905 en välgärning, huru blygsam omfattningen däraf än må vara.</w:t>
        <w:br/>
        <w:br/>
        <w:t>Mina herrar, jag har härmed slutat granskningen af utskottets anmärkningar mot förevarande kungörelse, som afsåg att dels vid folkskolearbetets anordning skapa en lagstadgad samverkan mellan dem, som hafva att besluta om detta arbete, och dem, som hafva att utföra detsamma, dels att bereda vår stora småskolelärarinnekår en smula ökad trygghet i dess rättsliga ställning. Såvidt jag kunnat finna, har utskottet icke uppvisat, att denna kungörelse är vare sig lagstridig, olämplig eller oriktig.</w:t>
        <w:br/>
        <w:br/>
        <w:t>Jag lämnar emellertid nu åt kammaren att bedöma, huruvida jag, då jag tillrådt konungen att utfärda denna kungörelse, icke »iakttagit rikets sannskyldiga nytta» eller »icke med oväld, nit, skicklighet och drift mitt förtroendeämbete utöfvat.»</w:t>
      </w:r>
    </w:p>
    <w:p>
      <w:pPr>
        <w:pStyle w:val="Heading2"/>
      </w:pPr>
      <w:r>
        <w:t>2. Hugo Blomberg (Första kammarens protektionistiska parti, man)</w:t>
      </w:r>
    </w:p>
    <w:p>
      <w:r>
        <w:rPr>
          <w:b w:val="0"/>
        </w:rPr>
        <w:t>Det synes mig visserligen, som om konstilutionsutskottet i sin framställning rörande det ärende, som nu föreligger till behandling, skulle ha på ett tillräckligt tydligt och klart sätt ådagalagt beskaffenheten af det rådslag, som här är under ompröfning. Jag vågar äfven tro, att den vidlyftiga, ingående och fyndigt genomförda granskning, som detta Dbetänkande underkastats af herr statsrådet och chefen för ecklesiastikdepartementet, näppeligen har kunnat uppvisa någon felaktighet i utskottets framställning eller obehöfligheten af de erinringar, som däri gjorts. Men ärendet synes mig vara af den vikt och betydelse, att det torde vara lämpligt, att det ytterligare något tages under ompröfning. Därvid skall jag försöka följa</w:t>
        <w:br/>
        <w:br/>
        <w:t>den föregående ärade talaren i hans erinringar, såvidt sådant låter sig göra på grund af framställningens vidlyftighet.</w:t>
        <w:br/>
        <w:br/>
        <w:t>Han sade, att utskottets memorial skulle vara af invecklad beskaffenhet och att detta föranledde den omfattande utredning, som han lämnade. Mig synes det, som om utskottets memorial är allt annat än inveckladt. Det ledes och uppbäres af en bestämd grundtanke, hvilken icke funnit något som hälst gensvar i det åskådningssätt, som talaren gjorde gällande, den grundtanken nämligen, att man vill upprätthålla de respektive kommunernas behörighet på det område, som här är i fråga. Detta har varit utskottets ledande tanke. Det är hufvudsakligen därför, att vid det rådslag, som här ifrågakommit, tillbörlig hänsyn icke tagits till denna kommunernas viktiga rätt, som anmärkningen tillkommit, och anmärkningen har synts utskottet så mycket mera berättigad, som detta icke är det enda fall, där begäret att undertrycka eller förringa de olika kommunala myndigheternas hittillsvarande inflytande på undervisningsväsendets olika områden gjort sig och gör sig gällande.</w:t>
        <w:br/>
        <w:br/>
        <w:t>Här bar visserligen nu sagts, att det icke har skett något, som är lagstridigt. Ja, i det hänseendet vill jag svara, att detta har utskottet icke häller påstått; utskottet har blott velat göra gällande, att på administrativ lagstiftningsväg tillkommit stadganden och bestämmelser af den natur, med den innebörd och de konsekvenser, att de i sig ovillkorligen innebära ett ingrepp på det verksamhetsområde och de behörigheter, som tillförne varit tillerkända kyrkostämma och skolråd och som ha sin rättsgrund i de föreskrifter, som förordningen om kyrkostämma och skolråd innehåller, såväl i &amp; 2, med afseende å kyrkostämmans rättigheter, som i &amp; 22, som handlar om skolrådets behörigheter. Ty de bestämmelser, som där finnas, äro dock af den art, att de lägga omsorgen och vården om folkskoleväsendet och befattningen därmed i vederbörande kommunala myndigheters — kyrkostämmas och skolråds — händer. Det är sant, att där finnes äfven den paragraf, som här blifvit nämnd, — $ 30 — hvilken säger, att vid behandling af frågor om folkskoleundervisningen skall skolrådet ställa sig till efterrättelse de stadgar, som därom äro gifna; men den bestämmelsen kan och får icke på sådant sätt förtolkas, att den skulle innebära något kull- . kastande af den allmänna grundsats, som uti ifrågavarande kommunallag är uttalad. Och det är därför, att de bestämmelser, som nu äro gifna, i själfva verket gripa in på och på ett mycket kännbart sätt beröra denna verksamhet, som anmärkningen framkommit.</w:t>
        <w:br/>
        <w:br/>
        <w:t>Jag skall därefter med några ord beröra den första punkten i utskottets framställning. Man har påvisat, att genom bestämmelsen om skollärarekårens representerande i skolrådet i enlighet med det anmärkta stadgandet i själfva verket frågan om skol-</w:t>
        <w:br/>
        <w:br/>
        <w:t>rådets sammansättning och verksamhet blifvit berörd. Jag Anmärkning vill med afseende härå erinra herrarne om att det här icke blott ot statsråd. gäller, att en medlem af lärarekåren kan komma att med den &lt;(Forts.) rätt, hvarom mom. 4 stadgar, blifva kallad till deltagande i skol-</w:t>
        <w:br/>
        <w:br/>
        <w:t>rådets förhandlingar, utan att man äfven infört en helt och hållet</w:t>
        <w:br/>
        <w:br/>
        <w:t>som kan vara sammansatt af mycket olika element: ordinarie</w:t>
        <w:br/>
        <w:br/>
        <w:t>och oexaminerade småskolelärare. Det är något helt annat, och därigenom har man ytterligare förnärmat kommunernas och deras</w:t>
        <w:br/>
        <w:br/>
        <w:t>organs rätt och gripit in på deras verksamhetsområden. Det är</w:t>
        <w:br/>
        <w:br/>
        <w:t>dessa, som ha befattningen med folkskoleväsendet och dess skö-</w:t>
        <w:br/>
        <w:br/>
        <w:t>tande från administrativ synpunkt, icke lärarekåren. Och jag</w:t>
        <w:br/>
        <w:br/>
        <w:t>vill äfven erinra om, att detta icke häller blifvit i de afgifna yttrandena föreslaget; man hade lämnat helt andra och bättre anvisningar i de utlåtanden, som afgifvits, nämligen att, om det</w:t>
        <w:br/>
        <w:br/>
        <w:t>skulle ifrågakomma ett inkallande af lärare i skolrådet, detta skulle</w:t>
        <w:br/>
        <w:br/>
        <w:t>ske genom vederbörande myndigheter, och särskildt genom skol-</w:t>
        <w:br/>
        <w:br/>
        <w:t>råden själfva, som på sådant sätt kunde göra sig till godo dessa</w:t>
        <w:br/>
        <w:br/>
        <w:t>Det torde vara tillräckligt att med några ord belysa det andra spörsmålet i denna punkt, där utskottet erinrat om det betänkliga i det sätt, hvarpå i det nya stadgandet inskjutits ett omnämnande af skollärare, som äro valda medlemmar i skolrådet. Det har alls icke undgått utskottet, att det är de faktiska förhållandena, som föranledt denna bestämmelses intagande. Men detta förringar icke betydelsen af den anmärkning, som utskottet framhållit, att detta omnämnande, som gjorts två gånger, ovillkorligen för den mängd af myndigheter, som hafva dessa frågor under behandling, kommer att te sig som en allmän förklaring af Kungl. Maj:t öfver hvad kommunallagarna i detta afseende innehålla — en förklaring af dessa bestämmelser, som Kungl. Maj:t icke äger rätt att på egen hand utfärda. Att Kungl. Maj:t efter besvär beslutar, att Kungl. Maj:t finner i därvid förevarande fall en bestämmelse böra tolkas och tillämpas på det ena eller det andra sättet, är en sak för sig; en annan sak är att göra ett allmänt uttalande i ämnet, som ter sig såsom en lagbestämmelse. Som jag nyss påpekade, kommer denna bestämmelse, som här gifvits, helt visst att verka vilseledande; den måste åstadkomma missförstånd. Att denna farhåga icke är något fantasifoster, vågar jag bestämdt påstå, ty redan har det försports, att man på många håll är oviss, huru efter denna nya bestämmelse i folkskolestadgan kyrkostämmoförordningen i verkligheten skall tillämpas.</w:t>
        <w:br/>
        <w:br/>
        <w:t>Jag skall sedan gå öfver till den granskning af utskottets uttalande rörande den andra punkten, som företogs af herr statsrådet och chefen för ecklesiastikdepartementet. Han sökte därvid göra gällande, att hela frågan egentligen afsåge småskolelärarin-</w:t>
        <w:br/>
        <w:br/>
        <w:t xml:space="preserve">Anmärkning norna allena; hela hans yttrande rörde sig också sedermera utemot statsråd. slutande om dessa </w:t>
      </w:r>
      <w:r>
        <w:rPr>
          <w:b/>
        </w:rPr>
        <w:t>småskolelärarinnor³</w:t>
      </w:r>
      <w:r>
        <w:rPr>
          <w:b w:val="0"/>
        </w:rPr>
        <w:t xml:space="preserve"> och deras ställning. Enligt</w:t>
        <w:br/>
        <w:br/>
        <w:t xml:space="preserve">mitt förmenande är paragrafen tydligen affattad så, att den gäller hela den grupp af lärare, som där är omförmäld och som äfven han i förbigående nämnde: biträdande lärare vid folkskola småskollärare och lärare vid mindre folkskola. Det är hela den gruppen, hvarom här är fråga, och således ej blott om </w:t>
      </w:r>
      <w:r>
        <w:rPr>
          <w:b/>
        </w:rPr>
        <w:t>småskolelärarinnorna³</w:t>
      </w:r>
      <w:r>
        <w:rPr>
          <w:b w:val="0"/>
        </w:rPr>
        <w:t>. Jag känner icke så noga, hur förhållandena med dessa olika platser numera gestalta sig; jag har blott kunnat rätta mig efter de uppgifter, som finnas upptagna i den petition, som ligger till grund för de ifrågavarande bestämmelserna; där visar det sig, att ej häller de två andra grupperna af lärare äro så obetydliga; de biträdande lärarnes antal uppgick till inemot 600, och antalet lärare vid mindre folkskolor utgjorde 1,800.</w:t>
        <w:br/>
        <w:br/>
        <w:t>Det är visserligen i viss mån tillfredsställande att höra, att man har noga genomtänkt det stadgande, som man här affattat, och att man därför tilltror sig kunna säga, att det är fullkomligt klart och tydligt. Jag för min del vågar dock fortfarande bestrida detta. Det må vara, att konstitutionsutskottets medlemmar varit synnerligen svagt utrustade för att tolka lagbestämmelser, men om än så är, tror jag dock, att de många myndigheter, som skola tillämpa denna bestämmelse, icke heller sitta inne med någon så rik och djupsinnig uppfattning, att icke ett stadgande på detta område borde vara affattadt med större klarhet och försiktighet än det ifrågavarande för att icke föranleda mycken tvekan, många missförstånd och många tvister.</w:t>
        <w:br/>
        <w:br/>
        <w:t>Jag skall nu öfvergå till de olika bestämmelser, om hvilka här har talats.</w:t>
        <w:br/>
        <w:br/>
        <w:t>Anmärkningarne gällde först den tid, som skulle medgifva rätt till fastare anställning; och i fråga om denna tid innehåller bestämmelsen, att en lärare för att ha en dylik rätt skall ha tjänstgjort i sammanlagdt 5 år. Herr statsrådet har nu sagt, att stadgandet afser all den tjänstgöring, som vederbörande möjligen har, det må vara i den ena eller andra befattningen, på det ena eller andra stället. Detta är en upplysning, som blir mycket intressant för vederbörande skolråd, men i så fall måste den också leda därhän, att skolråden mycken väl akta sig för att anställa personer, som förut varit anställda på andra ställen någon längre tid, enär de riskera, att eljest få dem fast anställda hos sig, utan att de haft tillfälle att förut på något sätt själfva lära känna eller pröfva deras duglighet. Det är dock något helt annat med anställandet af ordinarie folkskollärare, med den fasthet i anställningen, som en sådan kan förvärfva. Därvid är kommunens och skolrådets ställning en helt annan. Man pröfvar deras skicklighet, som efter platsens ledigförklarande inkomma med ansökningar, man får tillfälle att välja på flera personer och man handlar med full vetskap om att anställningen skall blifva fortbestående. Här åter</w:t>
        <w:br/>
        <w:br/>
        <w:t>gäller det öfver hufvud anställande af personer för en kortare Anmärkning och enligt bestämmelsernas och öfverenskommelsernas natur obe- "ot statsråd. stämd tid. Själfva tjänsten är ofta af tämligen tillfällig beskaf- (Forts. fenhet.</w:t>
        <w:br/>
        <w:br/>
        <w:t xml:space="preserve">Att församlingen då skall genom ett sådant stadgande som det nu utfärdade på en omväg förlora den rätt, som församlingen trott sig äga på grund af det föregående stadgandet i 8 24 mom. 3, nämligen att efter uppsägningstidens utgång blifva fri från en </w:t>
      </w:r>
      <w:r>
        <w:rPr>
          <w:b/>
        </w:rPr>
        <w:t>lärarinna³</w:t>
      </w:r>
      <w:r>
        <w:rPr>
          <w:b w:val="0"/>
        </w:rPr>
        <w:t xml:space="preserve"> eller lärare, som visat sig olämplig, det är otvifvelaktigt ett väsentligt förminskande af de kommunala myndigheternas rätt.</w:t>
        <w:br/>
        <w:br/>
        <w:t>Vidare har det sagts, att när det står »vederbörligen examinerad» lärare, så skulle det ovillkorligen betyda, att han skall vara vederbörligen examinerad, innan femårsperioden börjar. Den som icke är öfvad i advokatyr har svårt att inse och erkänna detta. Ty folkskolestadgans &amp; 33 innehåller i allmänhet regler om lärares entledigande och afser därför, då ej annat antydes, den tidpunkt, då fråga om lärarens entledigande förekommer. MHäruti har det nya mom. 2 icke infört någon ändring. HSålunda måste, så vidt jag förstår, både med afseende å uttrycken »examinerad lärare», samt »ogift lärare» och med afseende å de platser, som läraren innehaft, bestämmelserna gälla den tidpunkt, då frågan om entledigandet förekommer, och ej någon annan. Det är fullkomligt riktigt och ändamålsenligt, såsom herr statsrådet uttryckte sig, att det borde vara föreskrifvet, att läraren skall vara examinerad vid den tidpunkt, från hvilken de fem åren skola räknas, men det står icke utsatt i paragrafen.</w:t>
        <w:br/>
        <w:br/>
        <w:t>Hvad åter angår spörsmålet om 32 8:s större eller mindre tillämplighet å den ifrågavarande läraren, vill jag icke spilla många ord på detta. Utskottet har sagt, att det finner ordalagen 1 paragrafen antyda, att denna hänvisning skulle afse endast orsakerna till afskedandet, men utskottet har också erinrat om att, då man äfven strax efteråt hänvisat till den 32 8:s slutord, däruti ligger en frestelse att tro, att paragrafen i det hela är tillämplig. För detta uttalande har utskottet otvifvelaktigt haft fullgoda skäl.</w:t>
        <w:br/>
        <w:br/>
        <w:t>Jag skall för öfrigt nu endast nämna några ord med afseende å det, som finnes omförmäldt på senare delen af sid 15. Därvid fäster jag mig särskildt vid det försök, som herr statsrådet gjort att förringa betydelsen af utskottets erinran, att icke ens någon bestämmelse finnes om arten af den tjänstgöring, som skall berättiga till fast anställning. Då här i en mellanmening särskildt blifvit sagdt, att icke ens oförvitlighet erfordras, så har detta berott därpå, att uti många af de uttalanden, som i ärendet blifvit afgifna, behofvet af ett sådant stadgande blifvit särskildt betonadt, liksom denna fordran också framhålles i de skolreglementen, som</w:t>
        <w:br/>
        <w:br/>
        <w:t>finnas å olika orter. Tanken i framställningen binder sig icke</w:t>
        <w:br/>
        <w:br/>
        <w:t>Anmärkning ovillkorligen vid uttrycket oförvitlighet, utan man afser naturmot statsråd. ligen endast en tjänstgöring, som kunnat väl vitsordas. Det</w:t>
        <w:br/>
        <w:br/>
        <w:t>torde väl vara en församlings och ett skolråds rätt att fordra, att icke en lärare blir församlingen såsom ordinarie påtvingad, angående hvilken församlingen själf icke kan gifva det vitsordet, att hans tjänstgöring varit af god beskaffenhet. Detta är väl det minsta man kan fordra med hänsyn till församlingens och dess förvaltande organs rätt på detta område. Ty hvad blir eljest följden af allt detta? Jo, man beröfvar skolrådet dess ställning såsom ledande och öfverordnad myndighet öfver församlingens skolväsende; i stället för att möjliggöra samverkan på detta område föranleder man söndring och strid; åt den lärare, för hvilken man sålunda på en omväg, utan afseende å församlingens tillit, bereder ett dylikt oberoende af församlingen, skapas en ställning, som icke torde blifva till båtnad för utvecklingen af församlingens skolväsende. Det är också därför, som utskottet har ansett, att hela det ifrågavarande tillvägagåendet är prägladt af bristande hänsyn till och omtanke om skolväsendets utveckling under hägn af församlingens omvårdnad genom dess skolråd.</w:t>
        <w:br/>
        <w:br/>
        <w:t>Jag skall till sist blott yttra några ord med anledning af slutet i herr statsrådets anförande, nämligen hans ordande om omsorgen för den mycket aktningsvärda lärarekår, som det här gäller. Man bör, sade herr statsrådet, vara betänkt på att åt dessa lärare bereda en ställning, som gör dem mera oberoende af ett godtycke, hvilket kan hafva åtskilliga anledningar utan att vara grundadt på omsorg för skolväsendets bästa. I detta afseende tror jag mig kunna säga, att inom konstitutionsutskottet alls icke funnits någon afvoghet mot en dylik anordning. Men konstitutionsutskottet har ställt sig på den ståndpunkten, att, om man nu vill främja detta syfte, detta skall ske på den rätta vägen genom bestämmelser, som anknytas till kommunallagstiftningen och som icke ingripa i eller förringa de rättigheter, hvilka enligt kommunallagarnas allmänna normer tillkomma de kommunala myndigheterna. Det är sålunda i kommunernas intresse och för upprätthållande af deras rätt, som konstitutionsutskottet gjort sin anmärkning, och jag vågar tro, att den varit fullständigt berättigad.</w:t>
        <w:br/>
        <w:br/>
        <w:t>Jag har icke något annat yrkande att göra, än att memorialet må läggas till handlingarna.</w:t>
      </w:r>
    </w:p>
    <w:p>
      <w:pPr>
        <w:pStyle w:val="Heading2"/>
      </w:pPr>
      <w:r>
        <w:t>3. Albert Sjöholm (–, man)</w:t>
      </w:r>
    </w:p>
    <w:p>
      <w:r>
        <w:rPr>
          <w:b w:val="0"/>
        </w:rPr>
        <w:t>Hvar och en sakkunnig, som läser dessa paragrafer, 8 och 33, uti folkskolestadgan, hvarom här är fråga och mot hvilka anmärkning blifvit framställd, kan icke finna annat, än att de äro högst olämpliga både till innehåll och form. Jag trodde därför icke, att herr statsrådet skulle hålla ett så långt anförande för att försvara dessa paragrafer, utan att han snarare skulle erkänna, att icke behörig försiktighet och omtänk-</w:t>
        <w:br/>
        <w:br/>
        <w:t>samhet blifvit iakttagna, på grund af att han haft så kort tid Amnärkning att handlägga detta ärende. Det var nämligen blott 10 dagar,” statsråd. efter det statsrådet tillträdt sin befattning. Om ett sådant er- (Forts.) kännande framkommit, så hade mycket varit försonadt. Nu har statsrådet tvärtom sökt uppvisa, att dessa paragrafer skulle vara både till form och innehåll fullt berättigade och lämpliga. Han har särskildt med stor styrka framhållit, att genom 8 &amp; någon förändring icke har inträdt uti skolrådets sammansättning. Ingen kan bestrida, att icke förordningen om kyrkostämma, om kyrkoråd och skolråd är en förordning, om hvilken Konung och Riksdag gemensamt besluta. I denna förordning står angifvet, huru val till skolråd skall ske och hvem det är som väljer ledamöter till skolrådet. Det är också bestämdt, hvilka kvalifikationer den skall hafva, som kan inväljas uti skolråd. Genom den nu gifna bestämmelsen i folkskolestadgan föreskritves däremot, att i skolrådet skall inväljas, icke utaf kyrkostämman, utan af lärarkåren en person, som har befogenhet att vid skolrådets sammanträden vara tillstädes och i öfverläggningarna, men ej i besluten deltaga. Att denne person skall hafva de kvalifikationer, som erfordras för att blifva ledamot af skolrådet enligt kyrkostämmoförordningen, det står icke i och det vet man icke af den nya förordningen. Sålunda är det tänkbart, att uti skolrådet kommer att sitta en person, som har rättighet att yttra sig i alla frågor med vissa undantag, som jag sedan skall vidröra, men som dock enligt kommunallagen icke är därtill berättigad. Deltager han uti skolrådets förhandlingar, så är det gifvet, att han skall hafva ett visst inflytande i samma mån som han är sakkunnig. Jag har i själfva verket ingenting emot, att en lärare blir ledamot af skolrådet med en viss inskränkning, men då skall kyrkostämmoförordningen i detta afseende ändras, och det kan icke ske utan Riksdagens bifall. Jag vet icke, hvarför icke denna fråga blifvit underställd Riksdagens pröfning. Då hade det icke varit något att anmärka, och jag förmodar, att ingen inom Riksdagen hade satt sig emot, att en lärare skulle få vara ledamot af skolrådet. Nu synes det mig hafva skett ett ingrepp i Riksdagens beslutanderätt, då denna anordning blifvit vidtagen utan Riksdagens hörande. Kungl. Maj:t har visserligen hört åtskilliga myndigheter, och det är godt och väl, men det är icke tillräckligt. De hafva nämligen icke haft någon afgöranderätt, utan de hafva blott fått uttala, hvad de ansett lämpligt. Jag vill särskildt fästa mig vid, att af alla domkapitel, som yttrat sig, om lärarrepresentanten skulle få beslutanderätt, icke ett enda yttrat sig om huruvida denna fråga skulle underställas Riksdagens pröfning, innan den afgjordes af Kungl. Maj:t.</w:t>
        <w:br/>
        <w:br/>
        <w:t>Jag tror sålunda, att det är ett ingrepp i Riksdagens beslutanderätt, och att därför föredraganden icke har iakttagit den försiktighet, som man kunnat fordra af en Konungens rådgifvare.</w:t>
        <w:br/>
        <w:br/>
        <w:t xml:space="preserve">Anmärkning Vidare står den meningen här: »förutom den eller dem, som mot statsråd. tilläfventyrs må vara valda till ledamöter i skolrådet». Här kan (Forts.) jag icke finna annat än, hvad som redan är påpekadt, att det är en förklaring, hur det skall tolkas, hvilka som äro valbara till skolrådet. Det säges, att alla skola vara valbara, som icke äro redovisningsskyldiga, men lärare och </w:t>
      </w:r>
      <w:r>
        <w:rPr>
          <w:b/>
        </w:rPr>
        <w:t>lärarinnor³</w:t>
      </w:r>
      <w:r>
        <w:rPr>
          <w:b w:val="0"/>
        </w:rPr>
        <w:t xml:space="preserve"> äro, för att icke tala om annat, redovisningsskyldiga för den skolmateriel, som de ha om hand, och ordet »redovisningsskyldig» kan väl icke tolkas så, att det endast afser sådana, som hafva penningar om händer. Jag vet, att åtskilliga jurister tolka ordet så, men det kan vara tvifvel underkastadt, om den tolkningen är riktig. Det må emellertid vara härmed hur som hälst, men jag tänker mig möjligheten, att icke blott en, utan flera äro valda till ledamöter i skolrådet, och förutom dessa af församlingen till ledamöter valda skall lärarkåren därjämte välja en till. Nu veta vi, att den af lärarkåren valde icke får vara närvarande vid frågor om tjänstgöringsbetygs utfärdande samt om lärares skiljande från tjänsten, men de, som äro valda af församlingen, skola deltaga i sådana frågor. Detta är ett nytt bevis på olämpligheten och obehörigheten af den gifna lagtolkningen, att lärare skola få deltaga uti så grannlaga frågor, där de äro partiska icke blott för sig själfva, utan äfven för de kamrater, hvilkas tjänstgöring och uppförande kunna blifva underkastade pröfning af skolrådet, hvarförutom de mången gång få döma i egen sak. Att lärare skulle få vara ledamot af skolrådet utan beslutanderätt, det har jag, som sagdt, ingenting emot, därest en sådan bestämmelse tillkommit i behörig ordning, d. v. s. Riksdagen blifvit däröfver hörd.</w:t>
        <w:br/>
        <w:br/>
        <w:t xml:space="preserve">Hvad den senare 8 33 angår, så är den, såsom redan utskottet påpekat och uppvisat, i formellt hänseende ganska otillfredsställande. Statsrådet talade icke om annat än </w:t>
      </w:r>
      <w:r>
        <w:rPr>
          <w:b/>
        </w:rPr>
        <w:t>småskolelärarinnornas³</w:t>
      </w:r>
      <w:r>
        <w:rPr>
          <w:b w:val="0"/>
        </w:rPr>
        <w:t xml:space="preserve"> fastare anställning. Det är just, hvad centralstyrelsen för Sveriges allmänna folkskollärareförening sagt, eller att </w:t>
      </w:r>
      <w:r>
        <w:rPr>
          <w:b/>
        </w:rPr>
        <w:t>småskolelärarinnorna³</w:t>
      </w:r>
      <w:r>
        <w:rPr>
          <w:b w:val="0"/>
        </w:rPr>
        <w:t xml:space="preserve"> böra få en fastare anställning, men föreningen har icke ansett lämpligt föreslå, att biträdande lärare vid folkskolan och lärare vid mindre folkskola skulle få samma rättighet. Det medger emellertid denna författning, som innehåller, att också de skola få en fastare anställning. Det är en utsträckning, som jag icke förstår. När icke ens de, som varit särskildt intresserade, satt i fråga att få detta, utan t. o. m. uttalat olämpligheten däraf, då går ändå Kungl. Maj:t längre och säger, att allesammans efter hela linjen skola få en fastare anställning. Jag tror, att detta är att gå väl långt. Men hvad värre är, man har icke förbättrat dessa lärares och </w:t>
      </w:r>
      <w:r>
        <w:rPr>
          <w:b/>
        </w:rPr>
        <w:t>lärarinnors³</w:t>
      </w:r>
      <w:r>
        <w:rPr>
          <w:b w:val="0"/>
        </w:rPr>
        <w:t xml:space="preserve"> ställning, ty skolrådet är oförhindradt att antaga dem på ett år i sänder, och hvad hafva de då vunnit? Då komma de aldrig att åtnjuta denna förmån, och man har icke gjort lärarkåren någon tjänst, utan tvärtom. Hade man begränsat förmånen till att endast gälla för småskole-</w:t>
        <w:br/>
        <w:br/>
      </w:r>
      <w:r>
        <w:rPr>
          <w:b/>
        </w:rPr>
        <w:t>lärarinnorna³</w:t>
      </w:r>
      <w:r>
        <w:rPr>
          <w:b w:val="0"/>
        </w:rPr>
        <w:t>, och gjort bestämmelsen fullt effektiv, så hade det Anmärkning varit en annan sak. Det hade kunnat finnas fog därför, men "ot statsråd. att utsträcka den till extra ordinarie lärare och biträdande lärare (Forts. vid folkskolorna, på sätt nu skett, måste betraktas som ett missrepp. ? Plag nämnde, att det var så kort tid, som departementschefen haft på sig för att handlägga detta ärende, och att mycket kunde bero därpå, särskildt den oklara och obestämda formuleringen af &amp; 33. Jag förmodar att det varit en hans älsklingstanke att få realisera detta, och brådskan kan väl motiveras däraf, att han icke visste, om han hade så lång tid eller hur många dagar han skulle få sitta kvar på sin plats. Då jag sålunda anser, att &amp; 8 vittnar om bristande försiktighet hos föredragande departementschefen och $&amp; 33 om bristande skicklighet i ämbetets utöfning, har jag bidragit till det slut, hvartill utskottet, under åberopande af 107 8 regeringsformen, kommit. Jag har, herr grefve och talman, intet annat yrkande att göra, än att betänkandet måtte läggas till handlingarna.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65</dc:title>
  <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coreProperties>
</file>