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1054</w:t>
      </w:r>
    </w:p>
    <w:p>
      <w:r>
        <w:rPr>
          <w:b/>
        </w:rPr>
        <w:t xml:space="preserve">Datum: </w:t>
      </w:r>
      <w:r>
        <w:t>1907-05-24</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Julius Ödman (Lantmannapartiet, man)</w:t>
      </w:r>
    </w:p>
    <w:p>
      <w:r>
        <w:rPr>
          <w:b w:val="0"/>
        </w:rPr>
        <w:t xml:space="preserve">Herr talman, mina herrar! Jag har, som herrarna behagade finna, väckt en motion, åsyftande förklaring af kungörelsen angående folkhögskolorna i riket. Det är icke fråga om någon ökning eller minskning af anslaget, utan blott om ett förtydligande af författningen. Kungörelsen af den 235 maj 1900, angående anslag till understöd åt folhögskolor samt för utbildning af lärare och </w:t>
      </w:r>
      <w:r>
        <w:rPr>
          <w:b/>
        </w:rPr>
        <w:t>lärarinnor³</w:t>
      </w:r>
      <w:r>
        <w:rPr>
          <w:b w:val="0"/>
        </w:rPr>
        <w:t xml:space="preserve"> vid dylika skolor, förordnar i de två första momenten, att till folkhögskola, som pågår minst tjugo veckor, skall anslås högst 3,000 kronor och att till </w:t>
      </w:r>
      <w:r>
        <w:rPr>
          <w:b/>
        </w:rPr>
        <w:t>kvinnlig¹</w:t>
      </w:r>
      <w:r>
        <w:rPr>
          <w:b w:val="0"/>
        </w:rPr>
        <w:t xml:space="preserve"> folkhögskola, som pågår omkring tolf veckor, skall anslås högst 1,800 kronor.</w:t>
        <w:br/>
        <w:br/>
        <w:t>Herrarne torde behaga finna skillnaden mellan dessa två uttryck. I första momentet står: &gt;»folkhögskola&gt;, i andra momentet »&gt;</w:t>
      </w:r>
      <w:r>
        <w:rPr>
          <w:b/>
        </w:rPr>
        <w:t>kvinnlig¹</w:t>
      </w:r>
      <w:r>
        <w:rPr>
          <w:b w:val="0"/>
        </w:rPr>
        <w:t xml:space="preserve"> folkhögskola». Det finnes icke något ställe, där det uttryckligen står »&gt;manlig folkhögskola&gt;.</w:t>
        <w:br/>
        <w:br/>
        <w:t>Nu har jag begärt endast det förtydligandet, att åt dessa må gifvas följande lydelse:</w:t>
        <w:br/>
        <w:br/>
        <w:t xml:space="preserve">till manlig eller </w:t>
      </w:r>
      <w:r>
        <w:rPr>
          <w:b/>
        </w:rPr>
        <w:t>kvinnlig¹</w:t>
      </w:r>
      <w:r>
        <w:rPr>
          <w:b w:val="0"/>
        </w:rPr>
        <w:t xml:space="preserve"> folkhögskolekurs, som påginge omkring tolf veckor högst ett tusen åtta hundra kronor&gt;.</w:t>
        <w:br/>
        <w:br/>
        <w:t>På vissa ställen i riket, synnerligast i Bohuslän, där den manliga befolkningen utgöres af sjömän och fiskare, har det yppat sig svårigheter för denna befolkning att få sex månaders ledighet i sträck.</w:t>
        <w:br/>
        <w:br/>
        <w:t xml:space="preserve">Man har därför tänkt sig, att, i händelse man finge dela kursen i 2- eller 3-månaders kurser, det skulle vara möjligt för den manliga befolkningen att göra sig mera nytta af skolan och för skolan att göra mera nytta för den förra. Nu ser man ofta, hur ynglingarna gå sysslolösa i ett par tre månader men de kunna ej inskrifvas i folkhögskolan, ty de kunna ej förbinda sig att vara där 6 månader eller hela vintern därför, att då börjar fisket och sjöfarten på nytt igen. Nu är det endast min mening, att man skulle gifva folkögskolestyrelsen rättighet att uppdela kursen i två 3-månaderskurser för manlig eller </w:t>
      </w:r>
      <w:r>
        <w:rPr>
          <w:b/>
        </w:rPr>
        <w:t>kvinnlig¹</w:t>
      </w:r>
      <w:r>
        <w:rPr>
          <w:b w:val="0"/>
        </w:rPr>
        <w:t xml:space="preserve"> ungdom äfvensom att anordna en </w:t>
      </w:r>
      <w:r>
        <w:rPr>
          <w:b/>
        </w:rPr>
        <w:t>kvinnlig¹</w:t>
      </w:r>
      <w:r>
        <w:rPr>
          <w:b w:val="0"/>
        </w:rPr>
        <w:t xml:space="preserve"> kurs på 6 månader eller, som det står, 20 veckor. De </w:t>
      </w:r>
      <w:r>
        <w:rPr>
          <w:b/>
        </w:rPr>
        <w:t>kvinnliga¹</w:t>
      </w:r>
      <w:r>
        <w:rPr>
          <w:b w:val="0"/>
        </w:rPr>
        <w:t xml:space="preserve"> folkhögskolorna äro åtminstone på vissa ställen af fullt ut samma betydelse som de manliga, ty det är </w:t>
      </w:r>
      <w:r>
        <w:rPr>
          <w:b/>
        </w:rPr>
        <w:t>kvinnorna¹</w:t>
      </w:r>
      <w:r>
        <w:rPr>
          <w:b w:val="0"/>
        </w:rPr>
        <w:t xml:space="preserve">, som uppfostra barnen och sköta hemmen, då männen ligga ute på hafvet, och det vore därför särdeles lämpligt, om äfven </w:t>
      </w:r>
      <w:r>
        <w:rPr>
          <w:b/>
        </w:rPr>
        <w:t>kvinnorna¹</w:t>
      </w:r>
      <w:r>
        <w:rPr>
          <w:b w:val="0"/>
        </w:rPr>
        <w:t xml:space="preserve"> kunde få en bättre tid för sina kurser.</w:t>
        <w:br/>
        <w:br/>
        <w:t>Synnerligast gäller detta de praktiska ämnena, d. v. s. undervisningen vid skolkök, i slöjd och annat sådant.</w:t>
        <w:br/>
        <w:br/>
        <w:t>Jag kan naturligtvis icke och vill icke vid denna tid af riksdagen, när vi arbeta på öfvertid och tiden sålunda är dyrbarare än vanligt, yrka bifall till motionen och ännu mindre begära omröstning. - Hvad jag sagt har jag endast velat yttra därför, att det möjligen kunde bereda väg för en motion i samma syfte ett annat år.</w:t>
      </w:r>
    </w:p>
    <w:p>
      <w:pPr>
        <w:pStyle w:val="Heading2"/>
      </w:pPr>
      <w:r>
        <w:t>2. Bernhard Eriksson (Socialdemokraterna, man)</w:t>
      </w:r>
    </w:p>
    <w:p>
      <w:r>
        <w:rPr>
          <w:b w:val="0"/>
        </w:rPr>
        <w:t>Herr talman! Den fråga, som nu föreligger, har från många håll framställts vara af stort nykterhetsintresse. Jag anser dock för min del, och jag tror äfven, att de flesta nykterhetsvänner äro af samma åsikt, att vi icke kunna vara med om att bifalla, hvad Kungl. Maj:t i förevarande hänseende föreslagit. Jag för min del nödgas yrka afslag, och jag ber därför att med några ord få angifva skälen härtill. Som af den kungl. propositionen framgår och vi känna till, upphöra gästgifvarnes rätt att försälja till afhämtning från och med den första november innevarande år. De gästgifvare, hvarom här är fråga, eller åtminstone de flesta af dem hafva sålt större delen af sitt brännvin till afhämtning. En gästgifvare inom min domsaga, jag menar ägaren af Västerby gästgifveri, har af Kungl. Maj:t föreslagits till erhållande af det näst högsta ersättningsbeloppet. Han innehar visserligen ett gästgifveri, där han till spisande gäster försålt brännvin, det är sant, men denna försäljning har försiggått i mycket ringa utsträckning, en sup då och då. Emedan gästgifveriet är beläget på en mindre befolkad trakt, har det varit besökt af endast ett fåtal resande. Gaästgifvaren har sålt brännvin till afhämtning, och detta har gått så till, att han efter rekvisition expedierat sin vara rundt hela bergslagen. Han har på detta sätt i genomsnitt under de tre sista åren försålt 70,000 liter brännvin per år. Försäljning till afhämtning skall nu upphöra. Gästgifvaren kommer hädan- " efter endast att utskänka brännvin, och detta kommer naturligtvis endast att ske till den närmaste, rundt omkring gästgifveriet boende befolkningen. För attnu gästgifvaren skall afstå från sin utskänkningsrätt är föreslaget, att han skall få en årlig ersättning af 5,000 kronor. Från ren statsfinansiell synpunkt sedt kan jag icke biträda detta förslag. Det är icke alls utrönt, huru stor brännvinsförsäljningen på ifrågavarande plats blir efter den 1 november. Jag tror, att hela försäljningen icke ens kommer att uppgå till. 1,000 liter per år. Att af statsverkets medel lämna denna person en ersättning af 5,000 kronor kan jag därför för min del icke anse vara skäligt. Jag anser, att om ersättning skall gifvas och om vi skola inlösa dessa rättigheter, detta från nykterhetssynpunkt kan vara behjärtansvärdt och riktigt. Dock bör den nya brännvinsförordningen under några år först få visa sina verkningar, så att man får se, hvad dessa gästgifverier verk-</w:t>
        <w:br/>
        <w:br/>
        <w:t>å vissa platser inom Sverige icke äro sådana som jag här påpekat, men jag tror dock, att de i de flesta fall äro det. Det fin-</w:t>
        <w:br/>
        <w:br/>
        <w:t>af utskänknes en plats nämligen Skillingaryd, där jag för min del gärna</w:t>
        <w:br/>
        <w:br/>
        <w:t xml:space="preserve">skulle vara med om att bevilja begärda två tusen kronor, om utskänkningen därigenom helt och hållet kunde tagas bort. Men att bevilja alla dessa i flera fall rundliga belopp kan jag icke vara med om. Den gästgifvare i min hembygd, som jag anfört, är ej mera än c:a 60 år gammal och hans </w:t>
      </w:r>
      <w:r>
        <w:rPr>
          <w:b/>
        </w:rPr>
        <w:t>hustru²</w:t>
      </w:r>
      <w:r>
        <w:rPr>
          <w:b w:val="0"/>
        </w:rPr>
        <w:t xml:space="preserve"> är 50- årig. Någondera af dessa kan lefva ännu i 30 år och staten skulle sålunda endast i detta fall få utgifva 150,000 kronor. Kunde man nu vara alldeles viss om, att på dessa platser hädanefter icke någon som helst spriteller maltdrycksutskänkning komme att finnas, skulle jag för min del gärna gifva min röst åt förslaget, men uti Kungl. Maj:ts proposition finnas inga som helst löften i detta afseende. Det finnes icke några formellt bindande bevis för att icke, sedan gästgifvarne afstått sina utskänkningsrättigheter, ett bolag kan öppna brännvinsmagasin på platsen. En person kan komma och begära att få utskänka maltdrycker och erhålla tillstånd därtill, och så har man både ölkrog och brännvinsmagasin. Vi hafva således inga bevis för att rusdryckseller maltdrycksförsäljningen komme att upphöra. Under sådana förhållanden kan jag icke inse, att det från nykterhetssynpunkt sedt är af så stort intresse att dessa rättigheter inlösas. Det är ett nykterhetsintresse, det måste erkännas, men att det är så stort, att statsverket för dess skull årligen skulle uppoffra dessa penningar, betviflar jag. På grund af hvad jag nu anfört, och enär jag anser, att det behöfves två eller tre år att utröna, huru det kommer att ställa sig med försäljningen efter den nya lagens trädande i kraft, skall jag, herr vice talman, be att få yrka afslag å utskottets hemställan.</w:t>
        <w:br/>
        <w:br/>
        <w:t>I detta anförande instämde herrar Nilson i Örebro, Lindgren i Islingby, Olsson i See, Leksell, Matsson, Ström, Jansson i Edsbäcken, Berg i Göteborg, Johansson i Öja, Kropp, Beckman i Djursholm, Blomberg, Pettersson i Södertälje, Wavrinsky i Stockholm, Thylander, Rydén, Hellgren, Carlsson i Malmberget, Jonsson i Lycksele, Sedén, Lundström och Ersson.</w:t>
      </w:r>
    </w:p>
    <w:p>
      <w:pPr>
        <w:pStyle w:val="Heading2"/>
      </w:pPr>
      <w:r>
        <w:t>3. Emil Hammarlund (–, man)</w:t>
      </w:r>
    </w:p>
    <w:p>
      <w:r>
        <w:rPr>
          <w:b w:val="0"/>
        </w:rPr>
        <w:t>Herr talman, mina herrar! Den, som genomläst utskottets motivering, finner, att utskottet varit mycket tveksamt i denna fråga. De tre första styckena uti utskottets motivering peka ju rakt på afstyrkande. I dessa stycken hafva just de synpunkter blifvit framhållna, som den närmast föregående talaren påpekat. Efter att hafva framhållit dessa saker slutar emellertid utskottet med att säga: »Det får i allt fall anses såsom en fördel, värd någon uppoffring från det allmän-</w:t>
        <w:br/>
        <w:br/>
        <w:t>nas sida, att de privilegierade utskänkningsrättigheterna snarast Angående möjligt upphöra och att frågan om utöfvande af brännvinsförer äeineng till säljning kommer under vederbörande kommuners afgörande i för Tesende vanlig ordning. Och ett steg i denna riktning innebär den kungl.” af utskänkpropositionen». Och på grund däraf hemställes om bifall till ningsrätt. Kungl. Maj:ts förslag. Om man hade uteslutit detta sista stycke, (Forts.) kunde utskottet mycket väl hafva sagt: på grund af hvad som anförts får utskottet hemställa, att Kungl. Maj:ts förevarande proposition icke må till någon Riksdagens åtgärd föranleda.</w:t>
        <w:br/>
        <w:br/>
        <w:t>Om man ser denna sak opartiskt, får man väl dock medgifva, att det måste betraktas som en fördel för det allmänna, att en inlösen kommer till stånd, och att det är värdt en uppoffring att få antalet af de privilegierade gästgifverierna minskadt. Ett bifall till Kungl. Maj:ts proposition komme helt visst att bidraga till större ordning och nykterhet uti åtskilliga kommuner. Härtill kommer, att kommunerna — och detta är en mycket viktig omständighet — skulle på de ställen, där det nu finnes privilegierade gästgifverier, hvilkas ägare vilja afstå från sina utskänkningsrättigheter, komma att få i sin hand att kunna bestämma, om några utskänkningsrättigheter skola få förekomma eller icke, någonting som kommunerna för närvarade icke kunna göra. Vidare skulle ett bifall till Kungl. Maj:ts proposition medföra, att man därigenom kunde utöfva tryck på de nuvarande innehafvarne. Nykterhetsvännerna i orten kunna säga till ägarne af dylika privilegierade gästgifverier: afstå från edra rättigheter, så få ni den ersättning, som blifvit af Riksdagen bestämd! Som det nu är, kan man icke gärna säga till dem: ni bör afstå från edra rättigheter, ty de få icke någon ersättning. Att gå så långt torde vara något hårdt. Man får respektera en gång medgifna privilegier, äfven när det gäller gästgifvare.</w:t>
        <w:br/>
        <w:br/>
        <w:t>Utskottets flertal har kommit till den uppfattningen, att man bör lämna denna ersättning, och jag hemställer om bifall till utskottets förslag.</w:t>
      </w:r>
    </w:p>
    <w:p>
      <w:pPr>
        <w:pStyle w:val="Heading2"/>
      </w:pPr>
      <w:r>
        <w:t>4. Robert Johansson Dahr (Liberala samlingspartiet, man)</w:t>
      </w:r>
    </w:p>
    <w:p>
      <w:r>
        <w:rPr>
          <w:b w:val="0"/>
        </w:rPr>
        <w:t>Vi nykterhetsvänner äro naturligtvis glada öfver hvarje åtgärd, som åsyftar att minska antalet krogar, och från den synpunkten har den föreliggande kungliga propositionen verkligen något för oss mycket tilltalande. Men i ärendets nu föreliggande skick kan jag likväl icke skänka framställningen mitt gillande. Ty det synes mig, som om ärendet icke är så utredt, att det för närvarande bör bifallas. Det är egentligen endast en af de ifrågavarande rättigheterna, som varit föremål för sådan förberedande behandling, att Riksdagen bör kunna bifalla framställningen i fråga om densamma, och det är rättigheten i Skillingaryd. Där föreligger ett bestämt erbjudande, att om innehafvaren får 2,000 kronor, indrages krogen. Men beträffande alla de öfriga skall Riksdagen endast besluta, att om</w:t>
        <w:br/>
        <w:br/>
        <w:t>vederbörande vilja upphöra med rörelsen, så skall ersättning till dem utbetalas. Hvad blir följden? Jo, naturligtvis, att de innehafvare af sådana rättigheter komma att gå in på erbjudandet,</w:t>
        <w:br/>
        <w:br/>
        <w:t>af utskänkför hvilka detta ställer sig gynnsamt. Men då blir det så, att</w:t>
        <w:br/>
        <w:br/>
        <w:t>för de rättigheter, som göra den minsta skadan, där det säljes minst spirituosa och följaktligen förtjänas minst, kommer staten att få erlägga ersättning till innehafvarne, så att de ha fördel af affären i alla fall. Men på alla de ställen, där man förtjänar större belopp på försäljningen, där kommer man att afslå framställningen och fortsätta med rusdryckstrafiken. En sådan anordning kan ju icke vara lämplig. Därför menar jag, att en framställning som denna, därest den skall vinna Riksdagens bifall, bör meddela, att innehafvarna af rättigheterna bestämdt förklarat att, om de få ifrågavarande belopp, de skola afstå från rörelsen, så att man vet, hvad man gör. Nu blir resultatet blott, att man får lösa in de rättigheter, där det är fördelaktigt för innehafvarne att få lösepenningen, men får behålla alla krogar, som göra större skada, där man tjänar väsentliga summor på affären. Jag finner icke, att det från nykterhetssynpunkt kan vara lämpligt att gå in på en sådan uppgörelse. Det är uppenbart, att efter den 1 november i år rörelsen kommer att på de flesta ställen i hög grad minskas i omfattning, då det icke längre blir fråga om minutförsäljning utan endast om utskänkning.</w:t>
        <w:br/>
        <w:br/>
        <w:t xml:space="preserve">För att gifva kammarens ledamöter en föreställning om hur man ser saken ute i orterna, kan jag meddela, att från den valkrets, där den krog är belägen, för hvilken här föreslås den allra största lösesumman, nämligen Hvetlanda i Jönköpings län, ingått en mängd resolutioner till valkretsens representant, herr Danielsson, hvari protesteras mot detta sätt att lösa frågan. Jag kan icke neka mig att läsa upp en framställning om denna krog. Jag skall icke besvära kammaren med hela densamma, utan skall blott citera ett stycke ur det utlåtande, som beträffande denna rättighet afgifvits af kronofogden i orten. Han säger efter att ha lämnat åtskilliga statistiska uppgifter: »Hvad slutligen det vederlag vidkommer, som enligt min åsikt borde bjudas </w:t>
      </w:r>
      <w:r>
        <w:rPr>
          <w:b/>
        </w:rPr>
        <w:t>änkan²</w:t>
      </w:r>
      <w:r>
        <w:rPr>
          <w:b w:val="0"/>
        </w:rPr>
        <w:t xml:space="preserve"> Jonsson för afsägelsen af ifrågavarande utskänkningsrätt, så är mig mer än motbjudande att härutinnan ens behöfva föreslå något som helst belopp, då det är alltför väl bekant och af en del af allmänheten, som icke är helt och hållet omdömeslös eller likgiltig för en rättvis beskattning, till fullo insett, hvilka enorma summor brännvinsskatt, staten under de senaste 10 åa 15 åren i följd af ett slappt och oförlåtligt låt-gå-system, beträffande det årliga litertalets bestämmande, endast från denna affär gått miste om, hvarföre det vore rent af upprörande, om staten genom något större och oskäligt vederlags bestämmande komme att tillskyndas än ytterligare förlust på ifrågavarande privilegierade gästgifverihandtering.</w:t>
        <w:br/>
        <w:br/>
        <w:t>Skulle emellertid affären, med de inskränkningar nya lagen &lt;Angdende bestämmer, komma att med sin verksamhet fortsätta efter den 1 ersåtfrina till november och utskänkningsrörelsen hållas inom laglighetens gränser för afutäende samt skjutsstationen därstädes med detta års utgång möjligen af utskänköfvergå i andra händer — något som för öfrigt icke är otänkningsrätt. bart — är det alldeles tydligt, att affärens omsättningsförmåga = (Forts.) blifver ytterligt begränsad, hvarföre jag med hänsyn härtill icke anser det årliga vederlaget böra föreslås till högre belopp än 500 kronor.»</w:t>
        <w:br/>
        <w:br/>
        <w:t>Men för denna rättighet föreslås i den kungliga propositionen ett ersättningsbelopp af 6,200 kronor årligen!</w:t>
        <w:br/>
        <w:br/>
        <w:t>Jag måste för min del uttala, att om frågan hade framkom-</w:t>
        <w:br/>
        <w:br/>
        <w:t>mit i den form, att ett bestämdt erbjudande från hvarje gästgifvare förelegat, så att inlösen kunnat komma i fråga icke blott beträffande de jämförelsevis oskadliga rättigheterna utan beträftande alla, skulle jag kunnat gå med på förslaget, om tillika den inskränkning hade gjorts, att aftalet skulle gälla endast i det fall, att ingen ny rättighet komme att upprättas inom kommunen. Ty märk väl, mina herrar, vi stå inför den faran också, att, om vi lösa in de nuvarande rättigheterna i kommunerna, andra kanske upprättas strax därefter. Hvad ha vi då vunnit genom att bifalla detta förslag? Jo, vi få pensionera den gamla innehafvaren af försäljningsrättigheter, men i stället uppväxa måhända andra sådana.</w:t>
        <w:br/>
        <w:br/>
        <w:t>Jag beklagar, att jag icke under sådana förhållanden kan gå med på den föreliggande kungliga propositionen. Om den framkommer till ett annat år i ett annat och bättre skick, skall jag gärna skänka min röst åt densamma, liksom jag gärna skulle velat understödja framställningen om Skillingaryds gästgifveristations inlösen, men i frågans nuvarande läge måste jag sluta mig till dem, som yrka afslag.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