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102</w:t>
      </w:r>
    </w:p>
    <w:p>
      <w:r>
        <w:rPr>
          <w:b/>
        </w:rPr>
        <w:t xml:space="preserve">Datum: </w:t>
      </w:r>
      <w:r>
        <w:t>1908-03-01</w:t>
      </w:r>
    </w:p>
    <w:p>
      <w:r>
        <w:rPr>
          <w:b/>
        </w:rPr>
        <w:t xml:space="preserve">Kammare: </w:t>
      </w:r>
      <w:r>
        <w:t>Första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unknown (–, –)</w:t>
      </w:r>
    </w:p>
    <w:p>
      <w:r>
        <w:rPr>
          <w:b w:val="0"/>
        </w:rPr>
        <w:t>Kungl. Maj:t har föreslagit, att rektor Johanson i Göteborg måtte beviljas en pension af 4,000 kronor. Statsutskottet har föreslagit afslag härå, och skulle således rektor Johansons pension komma att inskränkas till 2,980 kronor.</w:t>
        <w:br/>
        <w:br/>
        <w:t xml:space="preserve">Jag vill icke bestrida, att statsutskottet i denna sin hemställan har ganska troget följt en regel, som har en synnerlig betydelse inom statsutskottet och särskildt i fråga om behandlingen af tionde hufvudtiteln. Skälet till dess afstyrkande är, att sistlidet års Riksdag beslöt, att lärare vid allmänna läroverken i fråga om pensionsrätt icke skulle få räkna sig till godo den tid, som de möjligen tjänstgjort vid ett enskildt läroverk. Nu förhåller det sig så med denne rektor Johanson, att han, efter att hafva varit docent 1 år, har varit lärare och föreståndare för en med statsmedel understödd </w:t>
      </w:r>
      <w:r>
        <w:rPr>
          <w:b/>
        </w:rPr>
        <w:t>flickskola²</w:t>
      </w:r>
      <w:r>
        <w:rPr>
          <w:b w:val="0"/>
        </w:rPr>
        <w:t xml:space="preserve"> i 15 år. Därefter har han varit lektor i 26 år, och af dessa 26 år har han varit rektor vid ett af landets allra största läroverk i 22 år. Han har sålunda meriten af ett synnerligen utmärkt vitsordadt rektorsarbete under 22 år. Sammanräknadt med hans tjänstår som lärare vid ett af staten understödt</w:t>
        <w:br/>
        <w:br/>
      </w:r>
      <w:r>
        <w:rPr>
          <w:b/>
        </w:rPr>
        <w:t>flickläroverk²</w:t>
      </w:r>
      <w:r>
        <w:rPr>
          <w:b w:val="0"/>
        </w:rPr>
        <w:t xml:space="preserve"> och hans tjänstår som lektor vid ett allmänt läro- Ang. lektorn verk, har han således 41 tjänstår. Hade han nu tjänstgjort vid N. 4. Johanett allmänt läroverk hela tiden blott 36 år, hade han fått full pen- 29ns person. sion, en summa som öfverstiger hvad Kungl. Maj:t nu har före- (Forts.) slagit. 5 Hvilken pension får han, om utskottets förslag bifalles? Jo,</w:t>
        <w:br/>
        <w:br/>
        <w:t>då får han icke mer än 2,980 kronor. Nu har en adjunkt vid allmänna läroverken, när han tjänt ut sin tid, en pension af 3,400 kronor. Kan det vara rättvist, att en så synnerligen välförtjänt lärare, som varit lärare i 5 år längre än som kräfves till den fulla pensionen, fastän en tid som lärare vid ett enskildt läroverk, att denne synnerligen välförtjänte lektor och rektor skall få mindre pension än en adjunkt? Det förekommer mig, som här vore så talande skäl för att göra ett undantag, att man verkligen skulle begå en orättvisa, om icke Kungl. Maj:ts proposition bifölles.</w:t>
        <w:br/>
        <w:br/>
        <w:t>Jå anför också statsutskottet ännu ett skäl och säger, att han får skylla sig själf, därför att han gått in på den nya lönestaten.</w:t>
        <w:br/>
        <w:br/>
        <w:t>Hur hade det ställt sig, om han icke gått in på den nya lönestaten? Då hade han fått en pension å 3,600 kronor. Därtill hade han haft rätt att stå kvar i tjänsten huru länge som helst. Vidare hade han fått uppbära hyresmedel från Göteborgs stad. Han skulle sålunda kunnat tjänstgöra med 5,000 kronor i lön, så länge han velat, och hade han tagit afsked, hade han fått en pension af 3,600 kronor. Då säger man: hvarför gick han in på den nya lönestaten ? Hvarför kvarstod han icke i sina goda löneförmåner ? Naturligtvis därför, att han fick en bättre aflöning och att han icke kunde föreställa sig, att de nya pensionsförhållandena, som för alla andra i allmänhet medförde en ökning i pensionen, skulle till och med förminska den rätt till pension, han hade efter den gamla ordningen. Hade han stått kvar på den gamla staten, hade han kunnat stanna kvar som lektor så länge som helst, och vid afskedstagandet hade han fått i pension 3,600 kronor. Nu skulle han däremot enligt utskottets förslag icke få mera än 2,980 kronor. Det synes mig verkligen icke vara riktigt, och därför anhåller jag att få yrka bifall till Kungl. Maj:ts proposition, där det föreslås en pension åt rektor Johanson på 4,000 kronor, en pension, som dock icke så obetydligt understiger den normala pensionen för en afgående så gammal lektor, som rektor Johanson.</w:t>
        <w:br/>
        <w:br/>
        <w:t>Jag yrkar bifall till Kungl. Maj:ts proposition.</w:t>
      </w:r>
    </w:p>
    <w:p>
      <w:pPr>
        <w:pStyle w:val="Heading2"/>
      </w:pPr>
      <w:r>
        <w:t>2. August Bellinder (Första kammarens nationella parti, man)</w:t>
      </w:r>
    </w:p>
    <w:p>
      <w:r>
        <w:rPr>
          <w:b w:val="0"/>
        </w:rPr>
        <w:t>Äfven jag anhåller att få på det lifligaste yrka bifall till Kungl. Maj:ts proposition.</w:t>
        <w:br/>
        <w:br/>
        <w:t>Jag anser för min del, att om man i likhet med statsutskotlets majoritet i detta fall tillstyrker en sträng tillämpning af pensionslagen af den 11 oktober 1907, kommer man att bekräfta den gamla sanningen: »högsta rätt, högsta orättvisa». Eller, mina herrar, kan det vara rättvist att afspisa en lärare, som tjänstgjort i nära 42 år i den högre undervisningens tjänst på ett sätt,</w:t>
        <w:br/>
        <w:br/>
        <w:t xml:space="preserve">i Göteborg, ett </w:t>
      </w:r>
      <w:r>
        <w:rPr>
          <w:b/>
        </w:rPr>
        <w:t>flickläroverk²</w:t>
      </w:r>
      <w:r>
        <w:rPr>
          <w:b w:val="0"/>
        </w:rPr>
        <w:t>, som då fick ett så stort och stadgadt anseende, att det ännu behåller detta, hade han i stället, säger jag, ingått som extra lärare vid ett af statens läroverk, så hade han redan år 1905 kunnat afgå som rektor med en pension af 4,500 kronor. Nu afgick han emellertid som rektor redan år 1904, därför att han icke hade tillräckligt många lektorsår för att få den rektorspension, som annars beviljas en rektor vid ett högre allmänt läroverk efter en tjänstgöring som rektor af blott 15 år. Han har tjänstgjort som rektor vid detta läroverk 22 år, och märk, mina herrar, vid ett läroverk, som först, när han tillträdde rektorsplatsen, blef ett högre läroverk, nämligen högre allmänna realläroverket i Göteborg, hvilket under hans insiktsfulla och nitiska ledning utvecklat sig så, att det inom få år blef rikets näst största färoverk med den betydande numerären af mellan sex och sju hundra lärjungar. Härvid hade han ett synnerligen hårdt och svårt arbete, men han fyllde sin uppgift på det förträffligaste sätt. Nu frågar jag: Är det rättvist, att han skulle efter 22 års tjänstgöring som rektor nödgas afgå med en så liten pension? Tvärtom borde dessa 22 års rektorsår räknas honom till godo, om icke dubbelt, så dock i banko, och då hade de väl räckt till att fylla de felande åren, så att han kunnat få den lektorspension, som han nu begärt och som Kungl. Maj:t i sin proposition äskat hos Riksdagen, Vid Kungl. Maj:ts framläggande af denna pensionsfråga har man kunnat stödja sig på de allra bästa vitsord, såväl af öfverstyrelsen för rikets allmänna läroverk. som af öfriga myndigheter, som haft att yttra sig om f. d. rektor Johansons tjänstgöring. Äfven statskontoret, som väl bör anses vaka öfver att gällande pensionslagar noga följas, har ansett sig med aiseende å de utmärkta förtjänster, som af sakkunniga myndigheter tilllagts lektor Johanson, icke böra afstyrka en begäran om pension för honom.</w:t>
        <w:br/>
        <w:br/>
        <w:t>Då sålunda Kungl. Maj:ts proposition är synnerligen välgrundad och då genom ett bifall till densamma ingalunda ett prejudikat skapas, som kan verka skadligt för framtiden, eftersom lektor Johansons ställning som pensionstagare är, såvidt jag kan förstå, alldeles enastående, anhåller jag att få förena mig med den föregående ärade talaren i att yrka bifall till Kungl. Maj:ts proposition.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102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