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90</w:t>
      </w:r>
    </w:p>
    <w:p>
      <w:r>
        <w:rPr>
          <w:b/>
        </w:rPr>
        <w:t xml:space="preserve">Datum: </w:t>
      </w:r>
      <w:r>
        <w:t>1908-03-13</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Herr grefve och talman, mina herrar! Det förslag till lönereglering, som nu skall öfverlämnas till särskildt utskott, är af den mest omfattande beskaffenhet, ja, jag kan väl säga det mest omfattande löneregleringsförslag, som någonsin har förelagts Riksdagen, och det är af mycket stor betydelse, att det svenska prästerskapets löner blifva reglerade, ty därom kan icke tvistas, att i stort sedt finnes icke i vårt land någon tjänstemannaklass, som efter nutida förhållanden är så väl i behof af lönereglering som det svenska prästerskapet.</w:t>
        <w:br/>
        <w:br/>
        <w:t>Men detta löneregleringsförslag är också af en synnerligen svår beskaffenhet. Här är icke fråga endast om att räkna efter, huru pass hög aflöning tjänstemän af samma grad böra hafva, utan i detta ärende mötas intressen af mycket olika art. Det här är icke blott en statsregleringsfråga utan ett ärende, som på det intimaste berör också de enskilda kommunerna och där blir särdeles svårhandterligt, emedan, om man vill vara rättfärdig, man ouppbörligt stöter på frågor om den enskilda äganderätten beträffande vissa lönetillgångar.</w:t>
        <w:br/>
        <w:br/>
        <w:t>Men framför allt är detta ärende af en synnerligen ömtålig natur. Det är icke blott fråga om huruvida dessa många tjänstemän skola få en högre eller lägre aflöning — därpå ligger naturligtvis en icke ringa vikt, men det är ingalunda den viktigaste synpunkt, som man här har att taga hänsikt till — här gäller</w:t>
        <w:br/>
        <w:br/>
        <w:t>det frågan om den ekonomiska grundvalen för förhållandet mel- Lagförslag lan svenska folkkyrkan och svenska staten. Här är således fråga 2”? reglering om en viktig förutsättning för huru det svenska folket vill, kan skolls ah och bör sörja för sina religiösa och sedliga intressen. Jag har löning m.m. nyss vid ett föregående tillfälle försökt att betona, att den svenska (Forts.) folkkyrkan och den svenska staten icke äro två från hvarandra</w:t>
        <w:br/>
        <w:br/>
        <w:t>skilda, fristående institutioner, utan båda äro det svenska folket, verksamt för det ena syftet eller för det andra. Det ligger en oberäknelig vikt uppå, att detta folk sörjer på ett sinsemellan harmoniskt egätt såväl för sina religiösa och sedliga intressens tillgodoseende som för sina statsborgerliga behofs tillgodo-</w:t>
        <w:br/>
        <w:br/>
        <w:t>seende. Jag tror knappast att någon fråga kan vara viktigare</w:t>
        <w:br/>
        <w:br/>
        <w:t>för vårt folk, än att ett godt förhållande är rådande mellan</w:t>
        <w:br/>
        <w:br/>
        <w:t>hvad det folket gör i de nu nämnda bägge hänseendena. Vårt</w:t>
        <w:br/>
        <w:br/>
        <w:t>folk är ett lyckligt folk och har varit det, och till dess lycka</w:t>
        <w:br/>
        <w:br/>
        <w:t>har hört och, jag vill hoppas detsamma kunna komma att sägas</w:t>
        <w:br/>
        <w:br/>
        <w:t>om framtiden, att det alltid, i stort sedt, rådt ett godt förhållande</w:t>
        <w:br/>
        <w:br/>
        <w:t>mellan stat och kyrka. Här finnes icke något land i världen,</w:t>
        <w:br/>
        <w:br/>
        <w:t>där det har rådt så godt förhållande mellan stat och kyrka som</w:t>
        <w:br/>
        <w:br/>
        <w:t>i Sverige. Före reformationen var spänningen mellan kyrkan</w:t>
        <w:br/>
        <w:br/>
        <w:t>och staten här i vårt land aldrig att jämföra med sådan den</w:t>
        <w:br/>
        <w:br/>
        <w:t>var i andra länder. Och efter reformationen har mellan staten</w:t>
        <w:br/>
        <w:br/>
        <w:t>och kyrkan i Sverige ständigt varit ett godt samarbete. Nog har</w:t>
        <w:br/>
        <w:br/>
        <w:t>man kunnat tvista, men några allvarliga konflikter hafva ännu</w:t>
        <w:br/>
        <w:br/>
        <w:t>aldrig förekommit. Detta har berott på många saker, men icke</w:t>
        <w:br/>
        <w:br/>
        <w:t>minst därpå, att åt båda har beskärts en relativ frihet gentemot hvarandra — jag lägger vikt på orden relativ och frihet. Det</w:t>
        <w:br/>
        <w:br/>
        <w:t>har åt den svenska kyrkan medgifvits en viss frihet, och den</w:t>
        <w:br/>
        <w:br/>
        <w:t xml:space="preserve">har </w:t>
      </w:r>
      <w:r>
        <w:rPr>
          <w:b/>
        </w:rPr>
        <w:t>hon²</w:t>
      </w:r>
      <w:r>
        <w:rPr>
          <w:b w:val="0"/>
        </w:rPr>
        <w:t xml:space="preserve"> icke missbrukat. Det har åt statsmakten inrymts infly-</w:t>
        <w:br/>
        <w:br/>
        <w:t>tande på de kyrkliga tingen. Det har den svenska statsmakten</w:t>
        <w:br/>
        <w:br/>
        <w:t>icke missbrukat. Jag vill därför icke säga, att icke frihetsgrän-</w:t>
        <w:br/>
        <w:br/>
        <w:t>sen hade kunnat eller bort vidgas eller inskränkas, men i stort</w:t>
        <w:br/>
        <w:br/>
        <w:t>sedt har samarbetet varit ett samarbete icke blott i fred utan</w:t>
        <w:br/>
        <w:br/>
        <w:t>också i frihet. Detta har återigen varit beroende icke minst på kyrkans i ekonomiskt hänseende åtskiljande från staten, på att</w:t>
        <w:br/>
        <w:br/>
        <w:t>den kyrkliga ekonomien varit skild från den allmänna statsekono-</w:t>
        <w:br/>
        <w:br/>
        <w:t>mien. Så har det varit i vår svenska kyrka, så länge en sådan</w:t>
        <w:br/>
        <w:br/>
        <w:t>kyrka har funnits, och så är förhållandet än i dag. Men det är</w:t>
        <w:br/>
        <w:br/>
        <w:t>icke blott så, att det har varit ett sådant åtskiljande i ekonomiskt hänseende, utan det har också varit så, att den svenska kyrkan</w:t>
        <w:br/>
        <w:br/>
        <w:t xml:space="preserve">har haft en åtminstone relativ ekonomisk själfständighet. </w:t>
      </w:r>
      <w:r>
        <w:rPr>
          <w:b/>
        </w:rPr>
        <w:t>Hon²</w:t>
      </w:r>
      <w:r>
        <w:rPr>
          <w:b w:val="0"/>
        </w:rPr>
        <w:br/>
        <w:br/>
        <w:t xml:space="preserve">har haft sina egna tillgångar, och </w:t>
      </w:r>
      <w:r>
        <w:rPr>
          <w:b/>
        </w:rPr>
        <w:t>hon²</w:t>
      </w:r>
      <w:r>
        <w:rPr>
          <w:b w:val="0"/>
        </w:rPr>
        <w:t xml:space="preserve"> har icke varit beroende</w:t>
        <w:br/>
        <w:br/>
        <w:t xml:space="preserve">af andra makters bestämmande, om också </w:t>
      </w:r>
      <w:r>
        <w:rPr>
          <w:b/>
        </w:rPr>
        <w:t>hon²</w:t>
      </w:r>
      <w:r>
        <w:rPr>
          <w:b w:val="0"/>
        </w:rPr>
        <w:t xml:space="preserve"> naturligtvis aldrig</w:t>
        <w:br/>
        <w:br/>
        <w:t xml:space="preserve">haft rätt att handskas utan villkor med sin ekonomi. Denna själfständighet i ekonomiskt hänseende har varit den svenska kyrkans värdefullaste yttre förmån. Jag vet väl, att </w:t>
      </w:r>
      <w:r>
        <w:rPr>
          <w:b/>
        </w:rPr>
        <w:t>hon²</w:t>
      </w:r>
      <w:r>
        <w:rPr>
          <w:b w:val="0"/>
        </w:rPr>
        <w:t>, dju-</w:t>
        <w:br/>
        <w:br/>
        <w:t xml:space="preserve">past sedt, icke lefver af hvad </w:t>
      </w:r>
      <w:r>
        <w:rPr>
          <w:b/>
        </w:rPr>
        <w:t>hon²</w:t>
      </w:r>
      <w:r>
        <w:rPr>
          <w:b w:val="0"/>
        </w:rPr>
        <w:t xml:space="preserve"> så i yttre hänseende har eller</w:t>
        <w:br/>
        <w:br/>
        <w:t xml:space="preserve">icke har, men det är ju klart, att för </w:t>
      </w:r>
      <w:r>
        <w:rPr>
          <w:b/>
        </w:rPr>
        <w:t>hennes²</w:t>
      </w:r>
      <w:r>
        <w:rPr>
          <w:b w:val="0"/>
        </w:rPr>
        <w:t xml:space="preserve"> verksamhet måste vissa yttre förmåner vara ett nödvändigt villkor, och </w:t>
      </w:r>
      <w:r>
        <w:rPr>
          <w:b/>
        </w:rPr>
        <w:t>hennes²</w:t>
      </w:r>
      <w:r>
        <w:rPr>
          <w:b w:val="0"/>
        </w:rPr>
        <w:t xml:space="preserve"> förnämsta yttre förmån har varit </w:t>
      </w:r>
      <w:r>
        <w:rPr>
          <w:b/>
        </w:rPr>
        <w:t>hennes²</w:t>
      </w:r>
      <w:r>
        <w:rPr>
          <w:b w:val="0"/>
        </w:rPr>
        <w:t xml:space="preserve"> frihet och själfständighet i ekonomiskt hänseende.</w:t>
        <w:br/>
        <w:br/>
        <w:t>Nu har på Riksdagens bord framlagts ett stort och vidtomfattande förslag till ändring, icke blott i fråga om prästerskapets aflöning utan äfven i fråga om hela vår svenska kyrkas ekonomiska ställning. Jag har icke haft tillfälle till att studera dessa förslag, känner följaktligen icke några detaljer i dem och vill därför icke heller yttra något om vare sig deras förtjänster eller möjliga brister. Förslagen hafva förberedts af en lönekommitté, som har arbetat under flera år och lämnat från sig ett arbete, som röjer synnerligen stor sakkunskap och skicklighet. Redan mot denna kommittés förslag kunde man hysa betänkligheter — jag talar icke om betänkligheter i detaljer utan om betänkligheter mot den sammanblandning, som kommittén föreslagit i fråga om kyrkliga och statsborgerliga faktorers deltagande vid afgörandet af kyrkans ekonomiska angelägenheter. Men kommittén, som kände vådan af att lossa på kyrkans frihet och själfständighet i ekonomiskt hänseende, gjorde ett förslag, som så långt möjligt var skulle undanröja farorna af hvad kommittén i det afseendet föreslog. Den svenska folkkyrkans ekonomiska förmåner äro nu garanterade af hvad man kallar privilegier. Kommittén föreslog, att regleringen af prästernas löner och hvad därmed sammanhängde skulle blifva garanterad därigenom att ändring däri endast skulle kunna ske genom gemensamt beslut af konung, riksdag och kyrkomötet. Det kan nog ifrågasättas, huruvida detta kommitténs förslag erbjöd samma tryghet, samma garantier, som man hittills ägt. Formellt sedt var det kanske så, men realiter kunde redan däremot göras invändningar. Emellertid, det stod för kommittén klart, att man icke borde — och detta alldeles icke blott af hänsyn till prästerskapets utan äfven af hänsyn till det svenska folkets, de svenska församlingarnas bästa — göra den svenska kyrkans organisation endast beroende af den statsborgerliga myndigheten. Det är därför med en synnerlig förvåning som jag funnit, att regeringen nu har i sitt förslag brutit mot hvad kommittén enhälligt föreslagit och hvad som i alla dessa århundraden ansetts vara den nödvändiga och bästa yttre garantien för vårt folks kyrkliga organisationer. I det framlagda förslaget borttages denna garanti, och frågor inom detta ärendes område skola afgöras ensidigt af Riksdagen och Konungen, och således den kyrkliga representationen icke däri deltaga. Den svenska folkkyrkan skulle alltså beröfvas sin ekonomiska själfständighet. Det nu framlagda förslaget skulle icke blott, såsom kommittén föreslagit, göra den svenska riksdagen till, hvad jag skulle vilja kalla, en direkt medbolagsman i den kyrkliga ekono-</w:t>
        <w:br/>
        <w:br/>
        <w:t>mien, utan det skulle göra den svenska kyrkan till statens eller, Lagförslag jag kan ju säga, till Riksdagens understödstagare. Alltså, det 2” reglering betyder detta, att de religiöst sedliga intressenas tillgodoseende skäpela af. skulle göras beroende af enbart Riksdagen och Kungl. Maj:t, d. v. s. löning m. m. göras beroende af Riksdagens partiintressen. Redan när 1865 års (Forts.) representationsreform genomfördes, kände man klart och erkände öppet, att Riksdagen icke kunde anses ensam vara en tillfredsställande representation för dessa religiöst sedliga intressen, utan man ansåg, att för deras tillgodoseende borde finnas en särskild representation, och däri hade man rätt, ty riksdagens medlemmar väljas från andra synpunkter än denna ena. Och om en sådan särskild representation för de kyrkliga, för de religiösa intressena 1865 ansågs vara nödvändig, så lär väl ingen vilja neka, att den är nödvändigare i år och att den blir ännu nödvändigare 1909 eller rättare sagdt 1912. Att utlämna de kyrkliga intressena åt Riksdagen och särskildt åt den nya Riksdagen, om hvilken vi ännu ingenting bestämdt veta, det synes mig vara icke blott en öfvermåttan djärf tanke utan en som jag omöjligen kan anse mig kunna biträda.</w:t>
        <w:br/>
        <w:br/>
        <w:t>Aldrig har på Riksdagens bord framlagts något förslag, som så direkt syftar på en hopgyttring af stat och kyrka som det här föreliggande. Men just därför, att det är en sådan hopgyttring, innebär det också ett fruktbärande frö till upplösning, ty, såsom jag redan förut nämnt, det goda samlifvet och samarbetet har väsentligen berott på den relativa frihet kyrkan och staten haft i förhållande till hvarandra. Denna hopgyttring måste leda till upplösning.</w:t>
        <w:br/>
        <w:br/>
        <w:t>Som jag redan sagt har jag icke studerat regeringens förslag, men äfven om jag antager, att de äro af den natur, att jag skulle i dem se mycket stora och värdefulla förmåner, är det dock för mig alldeles klart, att, om det bjödes än så mycket guld och än så gröna skogar, aldrig skulle det kunna för mig komma i fråga att, för att köpa dessa förmåner, jag skulle vilja sälja den svenska folkkyrkans frihet och själfständighet.</w:t>
        <w:br/>
        <w:br/>
        <w:t>Jag vill sluta med att uttala den lifliga förhoppningen och önskan, att det särskilda utskottet ville i det mest allvarliga öfvervägande taga just denna ena synpunkt, som jag nu har velat framhålla.</w:t>
      </w:r>
    </w:p>
    <w:p>
      <w:pPr>
        <w:pStyle w:val="Heading2"/>
      </w:pPr>
      <w:r>
        <w:t>2. Hugo Hammarskjöld (Första kammarens moderata parti, man)</w:t>
      </w:r>
    </w:p>
    <w:p>
      <w:r>
        <w:rPr>
          <w:b w:val="0"/>
        </w:rPr>
        <w:t>Att det förslag, som Kungl. Maj:t nu har framlagt för Riksdagen till reglering af prästerskapets löner med allt hvad därtill hör, skulle komma att väcka motstånd på åtskilliga håll, har jag icke ett ögonblick betviflat, och allra minst har jag tviflat därpå, att den punkt i förslaget, som biskop Billing nu klandrat, nämligen upphäfvandet af prästerskapets privilegier, skulle hos honom röna det allvarligaste motstånd. Jag kan försäkra honom och kammaren, att om det är</w:t>
        <w:br/>
        <w:br/>
        <w:t>djärft af mig att hafva tillrådt Kungl. Maj:t att lägga fram ett</w:t>
        <w:br/>
        <w:br/>
        <w:t>om reglering sådant förslag har det dock icke skett af lättsinne, utan efter</w:t>
        <w:br/>
        <w:br/>
        <w:t>mycket moget öfvervägande och sedan jag kommit till full klarhet med mig själf, att jag på detta sätt handlade i kyrkans bästa intresse. Biskop Billing har redan erinrat, att kommittén till hvarje lagförslag fogat en paragraf, att denna lag icke får ändras utan bifall af kyrkomötet. Hade det varit möjligt att bibehålla en sådan paragraf, skulle jag af bänsyn till traditioner och mångas känslor gärna sett, att den hade fått stå kvar. Men jag har icke kunnat behålla den, om jag skulle kunna lägga fram för riksdagen ett förslag sådant som detta. Efter mitt förmenande skulle nämligen en sådan paragraf stå i afgjord strid med grundlagen. Regeringsformens 114 8 säger: Ej må ändring eller upphäfvande af de forna riksståndens privilegier etc. ske utan genom Konungens och Riksdagens sammanstämmande beslut och med bifall — om frågan rörer prästerskapets privilegier, förmåner rättigheter och friheter — af allmänt kyrkomöte. Och andra momentet af 878 R. F. säger: »&gt;Riksdagen äger ock gemensamt med Konungen stifta, förändra eller upphäfva kyrkolag; dock att därvid erfordras samtycke jämväl af allmänt kyrkomöte». Men regeringsformen säger ingenting om att kyrkomötet skall höras rörande den ekonomiska lagstiftningen i mer än hvad det kan röra upphäfvande af prästerskapets privilegier, och det finnes icke medgifvet kyrkomötet någon rätt att stifta nya lagar i den vägen. Man kan icke efter mitt förmenande genom lagar af civilrättslig natur, sådana som dessa äro, utvidga den rätt kyrkomötet har endast enligt grundlagen. Jag kan åtminstone icke tolka grundlagen på annat sätt. Då skall man säga: ändra då grundlagen. Ja, det skulle kunna ske, men det är ett företag, som jag icke vågar mig på, och jag anser, att det i detta fall icke ens skulle vara lämpligt. Detta är allt hvad jag för ögonblicket vill säga angående den rättsliga sidan, om jag så får säga, af saken. Men jag vill nu se på den från en annan synpunkt.</w:t>
        <w:br/>
        <w:br/>
        <w:t xml:space="preserve">Jag tänker, att biskop Billing kan vara ense med mig om en sak, nämligen att privilegier öfver hufvud taget höra till en gången tid, de passa illa ihop med vår tid. Jag skall icke tala om tidsandan, ty det är ett ord, som biskop Billing icke tycker om, och jag är själf icke någon beundrare af tidsandan, men nog kunna vi vara ense om att privilegier stämma icke öfverens med vår tids åskådning i allmänhet. Och denna uppfattning af privilegier är icke från i går och i dag, den är gammal. Vi kunna se den i vår historia redan i slutet af 1600-talet. Den kommer skarpt fram gång efter gång allt tydligare under 1700-talet, och i 1809 års regeringsform har den fått sitt mest pregnanta uttryck genom förbudet mot stiftandet af några nya privilegier. Det sist gångna århundradet har ju också varit vittne till, huru nästan allt hvad som funnits kvar af privilegier fått </w:t>
      </w:r>
      <w:r>
        <w:rPr>
          <w:b/>
        </w:rPr>
        <w:t>maka³</w:t>
      </w:r>
      <w:r>
        <w:rPr>
          <w:b w:val="0"/>
        </w:rPr>
        <w:t xml:space="preserve"> åt sig på grund af vår</w:t>
        <w:br/>
        <w:br/>
        <w:t>tids förändrade uppfattning. Hvad som finnes kvar, det är präste- Lagförslag ståndets privilegier och adelns privilegier. Jag tror, att jag kan ar »eglering affärda de senare tämligen kort. Om adelns privilegier kunde skdpets afpå något sätt klädas i konkret form, skulle de enligt min mening löning m.m. höra hemma i statens historiska museum. I hvad de möjligen (Forts. beröra ekonomiska intressen, verka de i negativ riktning; de</w:t>
        <w:br/>
        <w:br/>
        <w:t>vålla kostnader i stället för inkomster i motsats till de prästerliga privilegierna. Man kan med allt skäl kalla dessa privilegier privilegia onerosa för att icke säga odiosa. Jag vill lägga till, att</w:t>
        <w:br/>
        <w:br/>
        <w:t>jag för min del med största nöje vara med om att afskrifva alla</w:t>
        <w:br/>
        <w:br/>
        <w:t>adelns s. k. privilegier, som icke längre äro värda det namnet.</w:t>
        <w:br/>
        <w:br/>
        <w:t>Jag tror således, att vi kunna säga, att det icke finnes kvar andra privilegier än prästerskapets, men de äro så mycket starkare, de</w:t>
        <w:br/>
        <w:br/>
        <w:t>äro så mycket värdefullare i ekonomiskt hänseende. Herrarna</w:t>
        <w:br/>
        <w:br/>
        <w:t>hafva icke ännu fått till sig utdelad den kungl. propositionen,</w:t>
        <w:br/>
        <w:br/>
        <w:t>det har ännu icke medhunnits. Där finnes en förteckning på de prästerliga privilegier, som 1723 fingo bekräftelse, och det är en</w:t>
        <w:br/>
        <w:br/>
        <w:t>mycket vacker samling. Jag rekommenderar den till genomläs-</w:t>
        <w:br/>
        <w:br/>
        <w:t>ning. Hvarför skall nu prästerskapet hafva en särskild undantagsställning? Hvarje annan klass af medborgare i vårt land —</w:t>
        <w:br/>
        <w:br/>
        <w:t>jag menar hvarje klass som på något sätt tjänar det allmänna</w:t>
        <w:br/>
        <w:br/>
        <w:t>— är i fråga om aflönings erhållande hänvisad till det allmänna förtroendet. De hafva inga privilegier. De lita på sina tjänsters behöflighet. Därför äro de också förvissade, att de skola få ersätt-</w:t>
        <w:br/>
        <w:br/>
        <w:t>ning för sitt arbete, och jag tror icke, att någon hittills har be-</w:t>
        <w:br/>
        <w:br/>
        <w:t>höft klaga öfver att han blifvit illa behandlad, i stort sedt åtminstone. Icke har någon särskild klass blifvit det. Men präs-</w:t>
        <w:br/>
        <w:br/>
        <w:t>terna, som äro bärare af de allra högsta, de ideella intressena,</w:t>
        <w:br/>
        <w:br/>
        <w:t>de som skola bära upp vårt religiösa lif, de skola för sina ekonomiska intressen stänga in sig i en spetsgård af privilegier, som</w:t>
        <w:br/>
        <w:br/>
        <w:t>icke någon får bjuda till att röra vid, ty det vore ett sacrilegium.</w:t>
        <w:br/>
        <w:br/>
        <w:t>Jag har aldrig kunnat komma underfund med, huruvida prästvigningen gifver åt den till präst vigde ett annat sätt att se</w:t>
        <w:br/>
        <w:br/>
        <w:t>på saker och ting, än hvad vi lekmän hafva. Jag vet därför</w:t>
        <w:br/>
        <w:br/>
        <w:t>icke, om en präst nödvändigt måste se på sina ekonomiska in-</w:t>
        <w:br/>
        <w:br/>
        <w:t>tressen, på sitt ståndsekonomiska intresse med andra ögon, än</w:t>
        <w:br/>
        <w:br/>
        <w:t>hvad lekmän göra. Men jag tror att, om jag vore präst, så skulle</w:t>
        <w:br/>
        <w:br/>
        <w:t>jag känna det motbjudande, att mitt stånd, ensamt af alla stånd och</w:t>
        <w:br/>
        <w:br/>
        <w:t>klasser af hela svenska folket, skulle stänga in sig inom denna mur,</w:t>
        <w:br/>
        <w:br/>
        <w:t>denna spetsgård af privilegier. Jag tycker att jag skulle känna det</w:t>
        <w:br/>
        <w:br/>
        <w:t>såsom något obehagligt och nästan förolämpande mot den öfriga</w:t>
        <w:br/>
        <w:br/>
        <w:t>delen af Sveriges folk. Visar det icke i verkligheten en misstro, om prästeståndet sålunda skulle tänka: ja, om vi icke behålla dessa privilegier, vet ingen, om vi någonsin få någonting att lefva af,</w:t>
        <w:br/>
        <w:br/>
        <w:t>såsom biskop Billing nyss med tydliga ord här sagt: kanhända att</w:t>
        <w:br/>
        <w:br/>
        <w:t>Riksdag och regering en vacker dag komma och taga från präs-</w:t>
        <w:br/>
        <w:br/>
        <w:t>terna deras underhåll? Jag har svårt att tro, att någonting sådant</w:t>
        <w:br/>
        <w:br/>
        <w:t>kan inträffa, och, såsom jag nyss har sagt, det kan, det måste väcka</w:t>
        <w:br/>
        <w:br/>
        <w:t>om reglering misstro hos den öfriga delen af folket, att just de, som skulle</w:t>
        <w:br/>
        <w:br/>
        <w:t>vara bärare af folkets allra högsta intressen, skola visa den misstro mot den öfriga delen af folket, att de frukta, att de icke skola kunna få sitt dagliga bröd. Det måste väcka en känsla af misshag. Nej, roina herrar, bättre än alla privilegier är ändå att göra sin plikt och lita på sin rättvisa sak. Icke ett ögonblick tviflar jag på eller har jag någonsin tviflat på, att Sveriges prästerskap i stort sedt skall göra sin plikt hädanefter såsom hittills, i onda dagar såväl som i de goda. Ja, kanske bäst i de onda dagarna! Det har hittills all kyrkohistoria visat.</w:t>
        <w:br/>
        <w:br/>
        <w:t>Men lika viss som jag är på detta, att prästerna skola göra sin plikt, lika viss är jag också, att Sveriges folk och dess representation icke skall svika i fullgörandet af sin skyldighet mot det prästerskap, som gör sin plikt. Motsatsen är möjlig blott i ett enda fall: om de onda krafter, som i våra dagar äro så verksamma till att undergräfva allt bestående, den bestående staten och den bestående kyrkan — om, säger jag, dessa krafter skulle komma till makten inom regering och riksdag, då är det möjligt, att de icke skulle visa hänsyn till prästerna, till bärarne af religionen. Jag säger: det är möjligt, men jag säger icke därför, att jag tror att de skulle försumma att fullgöra sin skyldighet. Men om den olyckliga dagen kommer, att dessa krafter komma till makten, tror biskop Billing, att det parti, som visat sig icke ens respektera det enda naturliga privilegium, som jag vet om, arbetets privilegium, privilegiet och rätten att med sitt eget arbete förvärfva sitt dagliga bröd, förvärfva bröd åt sin familj — att det parti, som icke ens respekterar det privilegiet, skulle väja för prästerskapets privilegier? Biskop Billing själf kan icke tro någonting sådant. Snarare tror jag, att det är möjligt, att om privilegierna icke funnes, partiet skulle respektera ett af konung och Riksdag högtidligen gifvet löfte, sådant som det är här meningen, att det skall gifvas, då för all framtid skall bestämmas: så och så mycket skall staten betala i ersättning för den från kyrkan indragna tionden.</w:t>
        <w:br/>
        <w:br/>
        <w:t>Det är åtskilligt, som skulle kunna sägas med anledning af biskop Billings anförande. I mångt och mycket kan jag vara ense med honom, men i åtskilligt och i den sak, som nu har blifvit berörd, är jag icke ense med honom. Jag kan sålunda icke vara ense med honom i den punkten, att bibehållandet af prästerskapets privilegier skulle vara en af de väsentliga grundvalarna för kyrkans själfständighet. Det kan vara nyttigt för kyrkan, men det är icke nödvändigt. Kyrkan får icke vara byggd på sådana grundvalar. De hålla icke att bygga på. Kyrkan måste vara byggd på folkets förtroende. Så länge folket har förtroende för sin kyrka och dess präster, och så länge prästerna göra sig förtjänta af folkets förtroende, så länge behöfver</w:t>
        <w:br/>
        <w:br/>
        <w:t>icke kyrkan frukta, att dess tjänare skola blifva utan sitt dagliga bröd. Men om den dag kommer, som jag icke tror någonsin skall komma, att kyrkans tjänare förgäta sin plikt, ja, då äro de sannerligen icke värda att hafva några privilegier . Men jag tror, att den dagen aldrig kommer.</w:t>
        <w:br/>
        <w:br/>
        <w:t>Det föreföll mig litet egendomligt, när biskop Billing talade om, att det nu skulle blifva en hopgyttring af stat och kyrka, ett fruktbärande frö till upplösning. Han började med att tala om, att kyrkan och staten alltid i Sverige arbetat så väl till sammans, och han angaf, att detta väsentligen berodde på, att de hade en viss frihet, en viss själfständighet från hvarandra. Men jag kan icke förstå, att friheten skulle blifva mindre därför, att tionden i stället för att betalas från fastighetsägarne direkt till prästerskapet går in till staten och därifrån lämnas till kyrkofonden. Mig synes den skillnaden vara ganska liten. Och när biskop Billing slutade med att tala om, att han aldrig kunde vara med om att sälja den svenska folkkyrkans frihet och själfständighet, håller jag med honom om den saken också, men det är därför, att jag är öfvertygad om, att man icke säljer den svenska folkkyrkans frihet och själfständighet, om man antager Kungl. Maj:ts proposition.</w:t>
        <w:br/>
        <w:br/>
        <w:t>Mina herrar! Ni ha ännu icke haft tillfälle att läsa förslaget. Och det är mycket drygt att läsa. Det tager lång tid. Jag begär endast, att Riksdagen, först och främst dess särskilda utskott och därefter Riksdagens båda kamrar, måtte gå till pröfning af förslaget utan förutfattad mening, och jag tror, att herrarne skola snart sagdt på hvarje sida, från början till slut, åtminstone i stort sedt, finna en genomgående tanke i förslaget, och det är den: välvilja för den svenska kyrkan, en ärlig önskan att på ett kraftfullt sätt bereda Sveriges prästerskap en sådan bärgning, att det kan sköta sitt kall utan allt för stora ekonomiska bekymmer. Jag tror, att Riksdagen tager på sig ett rätt stort ansvar, om den utan alldeles tvingande skäl skulle afslå Kungl. Maj:ts proposition.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